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C5" w:rsidRPr="007F5C11" w:rsidRDefault="006A0BC5" w:rsidP="006A0BC5">
      <w:pPr>
        <w:spacing w:line="31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>МИНИСТЕРСТВО ЗДРАВООХРАНЕНИЯ РОССИЙСКОЙ ФЕДЕРАЦИИ</w:t>
      </w:r>
    </w:p>
    <w:p w:rsidR="006A0BC5" w:rsidRPr="007F5C11" w:rsidRDefault="006A0BC5" w:rsidP="006A0BC5">
      <w:pPr>
        <w:spacing w:line="312" w:lineRule="auto"/>
        <w:jc w:val="center"/>
        <w:rPr>
          <w:rFonts w:ascii="Times New Roman" w:hAnsi="Times New Roman" w:cs="Times New Roman"/>
          <w:caps/>
          <w:sz w:val="18"/>
          <w:szCs w:val="18"/>
        </w:rPr>
      </w:pPr>
    </w:p>
    <w:p w:rsidR="006A0BC5" w:rsidRPr="007F5C11" w:rsidRDefault="006A0BC5" w:rsidP="006A0BC5">
      <w:pPr>
        <w:spacing w:line="312" w:lineRule="auto"/>
        <w:jc w:val="center"/>
        <w:rPr>
          <w:rFonts w:ascii="Times New Roman" w:hAnsi="Times New Roman" w:cs="Times New Roman"/>
          <w:caps/>
          <w:sz w:val="18"/>
          <w:szCs w:val="18"/>
        </w:rPr>
      </w:pPr>
      <w:r w:rsidRPr="007F5C11">
        <w:rPr>
          <w:rFonts w:ascii="Times New Roman" w:hAnsi="Times New Roman" w:cs="Times New Roman"/>
          <w:caps/>
          <w:sz w:val="18"/>
          <w:szCs w:val="18"/>
        </w:rPr>
        <w:t>ИНСТРУКЦИЯ</w:t>
      </w:r>
    </w:p>
    <w:p w:rsidR="006A0BC5" w:rsidRPr="007F5C11" w:rsidRDefault="006A0BC5" w:rsidP="006A0BC5">
      <w:pPr>
        <w:spacing w:line="31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>ПО МЕДИЦИНСКОМУ ПРИМЕНЕНИЮ ЛЕКАРСТВЕННОГО ПРЕПАРАТА</w:t>
      </w:r>
    </w:p>
    <w:p w:rsidR="006A0BC5" w:rsidRPr="007F5C11" w:rsidRDefault="006A0BC5" w:rsidP="006A0BC5">
      <w:pPr>
        <w:spacing w:line="312" w:lineRule="auto"/>
        <w:jc w:val="center"/>
        <w:rPr>
          <w:rFonts w:ascii="Times New Roman" w:hAnsi="Times New Roman" w:cs="Times New Roman"/>
          <w:caps/>
          <w:sz w:val="18"/>
          <w:szCs w:val="18"/>
        </w:rPr>
      </w:pPr>
    </w:p>
    <w:p w:rsidR="006A0BC5" w:rsidRPr="007F5C11" w:rsidRDefault="006A0BC5" w:rsidP="006A0BC5">
      <w:pPr>
        <w:spacing w:line="312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Левомицетин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Регистрационный номер: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 xml:space="preserve">Торговое наименование: </w:t>
      </w:r>
      <w:r w:rsidRPr="007F5C11">
        <w:rPr>
          <w:rFonts w:ascii="Times New Roman" w:hAnsi="Times New Roman" w:cs="Times New Roman"/>
          <w:bCs/>
          <w:sz w:val="18"/>
          <w:szCs w:val="18"/>
        </w:rPr>
        <w:t>Левомицетин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 xml:space="preserve">Международное непатентованное или группировочное наименование: </w:t>
      </w:r>
      <w:proofErr w:type="spellStart"/>
      <w:r w:rsidRPr="007F5C11">
        <w:rPr>
          <w:rFonts w:ascii="Times New Roman" w:hAnsi="Times New Roman" w:cs="Times New Roman"/>
          <w:bCs/>
          <w:sz w:val="18"/>
          <w:szCs w:val="18"/>
        </w:rPr>
        <w:t>хлорамфеникол</w:t>
      </w:r>
      <w:proofErr w:type="spellEnd"/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 xml:space="preserve">Лекарственная форма: </w:t>
      </w:r>
      <w:r w:rsidRPr="007F5C11">
        <w:rPr>
          <w:rFonts w:ascii="Times New Roman" w:hAnsi="Times New Roman" w:cs="Times New Roman"/>
          <w:bCs/>
          <w:sz w:val="18"/>
          <w:szCs w:val="18"/>
        </w:rPr>
        <w:t xml:space="preserve">таблетки, покрытые пленочной оболочкой  </w:t>
      </w:r>
    </w:p>
    <w:p w:rsidR="006A0BC5" w:rsidRPr="007F5C11" w:rsidRDefault="006A0BC5" w:rsidP="006A0BC5">
      <w:pPr>
        <w:widowControl w:val="0"/>
        <w:shd w:val="clear" w:color="auto" w:fill="FFFFFF"/>
        <w:tabs>
          <w:tab w:val="left" w:pos="5245"/>
          <w:tab w:val="left" w:pos="7655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bCs/>
          <w:spacing w:val="3"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pacing w:val="3"/>
          <w:sz w:val="18"/>
          <w:szCs w:val="18"/>
        </w:rPr>
        <w:t xml:space="preserve">Состав </w:t>
      </w:r>
    </w:p>
    <w:p w:rsidR="006A0BC5" w:rsidRPr="007F5C11" w:rsidRDefault="006A0BC5" w:rsidP="006A0BC5">
      <w:pPr>
        <w:widowControl w:val="0"/>
        <w:shd w:val="clear" w:color="auto" w:fill="FFFFFF"/>
        <w:tabs>
          <w:tab w:val="left" w:pos="5245"/>
          <w:tab w:val="left" w:pos="7655"/>
        </w:tabs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pacing w:val="3"/>
          <w:sz w:val="18"/>
          <w:szCs w:val="18"/>
        </w:rPr>
      </w:pPr>
      <w:r w:rsidRPr="007F5C11">
        <w:rPr>
          <w:rFonts w:ascii="Times New Roman" w:hAnsi="Times New Roman" w:cs="Times New Roman"/>
          <w:bCs/>
          <w:spacing w:val="3"/>
          <w:sz w:val="18"/>
          <w:szCs w:val="18"/>
        </w:rPr>
        <w:t>Состав на одну таблетку</w:t>
      </w:r>
      <w:r w:rsidRPr="007F5C11">
        <w:rPr>
          <w:rFonts w:ascii="Times New Roman" w:hAnsi="Times New Roman" w:cs="Times New Roman"/>
          <w:spacing w:val="3"/>
          <w:sz w:val="18"/>
          <w:szCs w:val="18"/>
        </w:rPr>
        <w:t>:</w:t>
      </w:r>
      <w:r w:rsidRPr="007F5C11">
        <w:rPr>
          <w:rFonts w:ascii="Times New Roman" w:hAnsi="Times New Roman" w:cs="Times New Roman"/>
          <w:spacing w:val="3"/>
          <w:sz w:val="18"/>
          <w:szCs w:val="18"/>
        </w:rPr>
        <w:tab/>
      </w:r>
    </w:p>
    <w:tbl>
      <w:tblPr>
        <w:tblW w:w="51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BA7801" w:rsidRPr="007F5C11" w:rsidTr="00BA7801">
        <w:trPr>
          <w:trHeight w:val="493"/>
        </w:trPr>
        <w:tc>
          <w:tcPr>
            <w:tcW w:w="5103" w:type="dxa"/>
          </w:tcPr>
          <w:p w:rsidR="00BA7801" w:rsidRPr="007F5C11" w:rsidRDefault="00BA7801" w:rsidP="004E6BCC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5" w:right="-7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F5C1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Действующее вещество:</w:t>
            </w:r>
          </w:p>
          <w:p w:rsidR="00BA7801" w:rsidRPr="007F5C11" w:rsidRDefault="00BA7801" w:rsidP="004E6BCC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5" w:right="-7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>Хлорамфеникол</w:t>
            </w:r>
            <w:proofErr w:type="spellEnd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A7801" w:rsidRPr="007F5C11" w:rsidTr="00BA7801">
        <w:tc>
          <w:tcPr>
            <w:tcW w:w="5103" w:type="dxa"/>
            <w:vAlign w:val="center"/>
          </w:tcPr>
          <w:p w:rsidR="00BA7801" w:rsidRPr="007F5C11" w:rsidRDefault="00BA7801" w:rsidP="004E6BCC">
            <w:pPr>
              <w:spacing w:line="312" w:lineRule="auto"/>
              <w:ind w:left="-75" w:right="-7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5C11">
              <w:rPr>
                <w:rFonts w:ascii="Times New Roman" w:hAnsi="Times New Roman" w:cs="Times New Roman"/>
                <w:i/>
                <w:sz w:val="18"/>
                <w:szCs w:val="18"/>
              </w:rPr>
              <w:t>Вспомогательные вещества:</w:t>
            </w:r>
          </w:p>
          <w:p w:rsidR="00BA7801" w:rsidRPr="007F5C11" w:rsidRDefault="00BA7801" w:rsidP="004E6BCC">
            <w:pPr>
              <w:spacing w:line="312" w:lineRule="auto"/>
              <w:ind w:left="-75"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1">
              <w:rPr>
                <w:rFonts w:ascii="Times New Roman" w:hAnsi="Times New Roman" w:cs="Times New Roman"/>
                <w:sz w:val="18"/>
                <w:szCs w:val="18"/>
              </w:rPr>
              <w:t xml:space="preserve">Целлюлоза микрокристаллическая </w:t>
            </w:r>
          </w:p>
        </w:tc>
      </w:tr>
      <w:tr w:rsidR="00BA7801" w:rsidRPr="007F5C11" w:rsidTr="00BA7801">
        <w:tc>
          <w:tcPr>
            <w:tcW w:w="5103" w:type="dxa"/>
            <w:vAlign w:val="center"/>
          </w:tcPr>
          <w:p w:rsidR="00BA7801" w:rsidRPr="007F5C11" w:rsidRDefault="00BA7801" w:rsidP="004E6BCC">
            <w:pPr>
              <w:spacing w:line="312" w:lineRule="auto"/>
              <w:ind w:left="-75" w:right="-7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>Кросповидон</w:t>
            </w:r>
            <w:proofErr w:type="spellEnd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BA7801" w:rsidRPr="007F5C11" w:rsidTr="00BA7801">
        <w:tc>
          <w:tcPr>
            <w:tcW w:w="5103" w:type="dxa"/>
            <w:vAlign w:val="center"/>
          </w:tcPr>
          <w:p w:rsidR="00BA7801" w:rsidRPr="007F5C11" w:rsidRDefault="00BA7801" w:rsidP="004E6BCC">
            <w:pPr>
              <w:spacing w:line="312" w:lineRule="auto"/>
              <w:ind w:left="-75" w:right="-7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>Гипролоза</w:t>
            </w:r>
            <w:proofErr w:type="spellEnd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A7801" w:rsidRPr="007F5C11" w:rsidTr="00BA7801">
        <w:tc>
          <w:tcPr>
            <w:tcW w:w="5103" w:type="dxa"/>
            <w:vAlign w:val="center"/>
          </w:tcPr>
          <w:p w:rsidR="00BA7801" w:rsidRPr="007F5C11" w:rsidRDefault="00BA7801" w:rsidP="004E6BCC">
            <w:pPr>
              <w:spacing w:line="312" w:lineRule="auto"/>
              <w:ind w:left="-75"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1">
              <w:rPr>
                <w:rFonts w:ascii="Times New Roman" w:hAnsi="Times New Roman" w:cs="Times New Roman"/>
                <w:sz w:val="18"/>
                <w:szCs w:val="18"/>
              </w:rPr>
              <w:t xml:space="preserve">Кальция </w:t>
            </w:r>
            <w:proofErr w:type="spellStart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>стеарат</w:t>
            </w:r>
            <w:proofErr w:type="spellEnd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A7801" w:rsidRPr="007F5C11" w:rsidTr="00BA7801">
        <w:tc>
          <w:tcPr>
            <w:tcW w:w="5103" w:type="dxa"/>
            <w:vAlign w:val="center"/>
          </w:tcPr>
          <w:p w:rsidR="00BA7801" w:rsidRPr="007F5C11" w:rsidRDefault="00BA7801" w:rsidP="004E6BCC">
            <w:pPr>
              <w:spacing w:line="312" w:lineRule="auto"/>
              <w:ind w:left="-75"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1">
              <w:rPr>
                <w:rFonts w:ascii="Times New Roman" w:hAnsi="Times New Roman" w:cs="Times New Roman"/>
                <w:sz w:val="18"/>
                <w:szCs w:val="18"/>
              </w:rPr>
              <w:t>Кремния диоксид коллоидный безводный</w:t>
            </w:r>
          </w:p>
        </w:tc>
      </w:tr>
      <w:tr w:rsidR="00BA7801" w:rsidRPr="007F5C11" w:rsidTr="00BA7801">
        <w:tc>
          <w:tcPr>
            <w:tcW w:w="5103" w:type="dxa"/>
            <w:vAlign w:val="center"/>
          </w:tcPr>
          <w:p w:rsidR="00BA7801" w:rsidRPr="007F5C11" w:rsidRDefault="00BA7801" w:rsidP="004E6BCC">
            <w:pPr>
              <w:spacing w:line="312" w:lineRule="auto"/>
              <w:ind w:left="-75" w:right="-7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5C11">
              <w:rPr>
                <w:rFonts w:ascii="Times New Roman" w:hAnsi="Times New Roman" w:cs="Times New Roman"/>
                <w:i/>
                <w:sz w:val="18"/>
                <w:szCs w:val="18"/>
              </w:rPr>
              <w:t>Состав оболочки:</w:t>
            </w:r>
          </w:p>
          <w:p w:rsidR="00BA7801" w:rsidRPr="007F5C11" w:rsidRDefault="00BA7801" w:rsidP="004E6BCC">
            <w:pPr>
              <w:spacing w:line="312" w:lineRule="auto"/>
              <w:ind w:left="-75" w:right="-7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>Гипромеллоза</w:t>
            </w:r>
            <w:proofErr w:type="spellEnd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 xml:space="preserve"> Е6 </w:t>
            </w:r>
          </w:p>
        </w:tc>
      </w:tr>
      <w:tr w:rsidR="00BA7801" w:rsidRPr="007F5C11" w:rsidTr="00BA7801">
        <w:tc>
          <w:tcPr>
            <w:tcW w:w="5103" w:type="dxa"/>
            <w:vAlign w:val="center"/>
          </w:tcPr>
          <w:p w:rsidR="00BA7801" w:rsidRPr="007F5C11" w:rsidRDefault="00BA7801" w:rsidP="004E6BCC">
            <w:pPr>
              <w:spacing w:line="312" w:lineRule="auto"/>
              <w:ind w:left="-75"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1">
              <w:rPr>
                <w:rFonts w:ascii="Times New Roman" w:hAnsi="Times New Roman" w:cs="Times New Roman"/>
                <w:sz w:val="18"/>
                <w:szCs w:val="18"/>
              </w:rPr>
              <w:t xml:space="preserve">Титана диоксид </w:t>
            </w:r>
          </w:p>
        </w:tc>
      </w:tr>
      <w:tr w:rsidR="00BA7801" w:rsidRPr="007F5C11" w:rsidTr="00BA7801">
        <w:tc>
          <w:tcPr>
            <w:tcW w:w="5103" w:type="dxa"/>
            <w:vAlign w:val="center"/>
          </w:tcPr>
          <w:p w:rsidR="00BA7801" w:rsidRPr="007F5C11" w:rsidRDefault="00BA7801" w:rsidP="004E6BCC">
            <w:pPr>
              <w:spacing w:line="312" w:lineRule="auto"/>
              <w:ind w:left="-75" w:right="-7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>Макрогол</w:t>
            </w:r>
            <w:proofErr w:type="spellEnd"/>
            <w:r w:rsidRPr="007F5C11">
              <w:rPr>
                <w:rFonts w:ascii="Times New Roman" w:hAnsi="Times New Roman" w:cs="Times New Roman"/>
                <w:sz w:val="18"/>
                <w:szCs w:val="18"/>
              </w:rPr>
              <w:t xml:space="preserve"> 6000 </w:t>
            </w:r>
          </w:p>
        </w:tc>
      </w:tr>
      <w:tr w:rsidR="00BA7801" w:rsidRPr="007F5C11" w:rsidTr="00BA7801">
        <w:tc>
          <w:tcPr>
            <w:tcW w:w="5103" w:type="dxa"/>
            <w:vAlign w:val="center"/>
          </w:tcPr>
          <w:p w:rsidR="00BA7801" w:rsidRPr="007F5C11" w:rsidRDefault="00BA7801" w:rsidP="004E6BCC">
            <w:pPr>
              <w:spacing w:line="312" w:lineRule="auto"/>
              <w:ind w:left="-75" w:right="-70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1">
              <w:rPr>
                <w:rFonts w:ascii="Times New Roman" w:hAnsi="Times New Roman" w:cs="Times New Roman"/>
                <w:sz w:val="18"/>
                <w:szCs w:val="18"/>
              </w:rPr>
              <w:t xml:space="preserve">Тальк </w:t>
            </w:r>
          </w:p>
        </w:tc>
      </w:tr>
    </w:tbl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right="-6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Описание: </w:t>
      </w:r>
      <w:r w:rsidRPr="007F5C11">
        <w:rPr>
          <w:rFonts w:ascii="Times New Roman" w:hAnsi="Times New Roman" w:cs="Times New Roman"/>
          <w:i/>
          <w:sz w:val="18"/>
          <w:szCs w:val="18"/>
        </w:rPr>
        <w:t xml:space="preserve">Дозировка 250 мг: </w:t>
      </w:r>
      <w:r w:rsidRPr="007F5C11">
        <w:rPr>
          <w:rFonts w:ascii="Times New Roman" w:hAnsi="Times New Roman" w:cs="Times New Roman"/>
          <w:sz w:val="18"/>
          <w:szCs w:val="18"/>
        </w:rPr>
        <w:t>круглые двояковыпуклые таблетки, покрытые пленочной оболочкой, белого или почти белого цвета. На поперечном разрезе ядро таблетки белого, серовато-белого или желтовато-белого цвета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right="-6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i/>
          <w:sz w:val="18"/>
          <w:szCs w:val="18"/>
        </w:rPr>
        <w:t xml:space="preserve">Дозировка 500 мг: </w:t>
      </w:r>
      <w:r w:rsidRPr="007F5C11">
        <w:rPr>
          <w:rFonts w:ascii="Times New Roman" w:hAnsi="Times New Roman" w:cs="Times New Roman"/>
          <w:sz w:val="18"/>
          <w:szCs w:val="18"/>
        </w:rPr>
        <w:t>продолговатые двояковыпуклые таблетки, покрытые пленочной оболочкой, белого или почти белого цвета с риской. На поперечном разрезе ядро таблетки белого, серовато-белого или желтовато-белого цвета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right="-5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 xml:space="preserve">Фармакотерапевтическая группа: </w:t>
      </w:r>
      <w:r w:rsidRPr="007F5C11">
        <w:rPr>
          <w:rFonts w:ascii="Times New Roman" w:hAnsi="Times New Roman" w:cs="Times New Roman"/>
          <w:bCs/>
          <w:sz w:val="18"/>
          <w:szCs w:val="18"/>
        </w:rPr>
        <w:t>антибиотик</w:t>
      </w:r>
    </w:p>
    <w:p w:rsidR="006A0BC5" w:rsidRPr="007F5C11" w:rsidRDefault="006A0BC5" w:rsidP="006A0BC5">
      <w:pPr>
        <w:spacing w:line="312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hAnsi="Times New Roman" w:cs="Times New Roman"/>
          <w:b/>
          <w:bCs/>
          <w:spacing w:val="1"/>
          <w:sz w:val="18"/>
          <w:szCs w:val="18"/>
        </w:rPr>
        <w:t>Код АТХ</w:t>
      </w:r>
      <w:r w:rsidRPr="007F5C11">
        <w:rPr>
          <w:rFonts w:ascii="Times New Roman" w:hAnsi="Times New Roman" w:cs="Times New Roman"/>
          <w:b/>
          <w:spacing w:val="1"/>
          <w:sz w:val="18"/>
          <w:szCs w:val="18"/>
        </w:rPr>
        <w:t>:</w:t>
      </w:r>
      <w:r w:rsidRPr="007F5C11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F5C11">
        <w:rPr>
          <w:rFonts w:ascii="Times New Roman" w:hAnsi="Times New Roman" w:cs="Times New Roman"/>
          <w:spacing w:val="1"/>
          <w:sz w:val="18"/>
          <w:szCs w:val="18"/>
          <w:lang w:val="en-US"/>
        </w:rPr>
        <w:t>J</w:t>
      </w:r>
      <w:r w:rsidRPr="007F5C11">
        <w:rPr>
          <w:rFonts w:ascii="Times New Roman" w:hAnsi="Times New Roman" w:cs="Times New Roman"/>
          <w:spacing w:val="1"/>
          <w:sz w:val="18"/>
          <w:szCs w:val="18"/>
        </w:rPr>
        <w:t>01</w:t>
      </w:r>
      <w:r w:rsidRPr="007F5C11">
        <w:rPr>
          <w:rFonts w:ascii="Times New Roman" w:hAnsi="Times New Roman" w:cs="Times New Roman"/>
          <w:spacing w:val="1"/>
          <w:sz w:val="18"/>
          <w:szCs w:val="18"/>
          <w:lang w:val="en-US"/>
        </w:rPr>
        <w:t>BA</w:t>
      </w:r>
      <w:r w:rsidRPr="007F5C11">
        <w:rPr>
          <w:rFonts w:ascii="Times New Roman" w:hAnsi="Times New Roman" w:cs="Times New Roman"/>
          <w:spacing w:val="1"/>
          <w:sz w:val="18"/>
          <w:szCs w:val="18"/>
        </w:rPr>
        <w:t>01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Фармакологические свойства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proofErr w:type="spellStart"/>
      <w:r w:rsidRPr="007F5C11">
        <w:rPr>
          <w:rFonts w:ascii="Times New Roman" w:hAnsi="Times New Roman" w:cs="Times New Roman"/>
          <w:b/>
          <w:bCs/>
          <w:i/>
          <w:sz w:val="18"/>
          <w:szCs w:val="18"/>
        </w:rPr>
        <w:t>Фармакодинамика</w:t>
      </w:r>
      <w:proofErr w:type="spellEnd"/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Бактериостатический антибиотик широкого спектра действия, нарушает процесс синтеза белка в микробной клетке.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Эффективен в отношении штаммов бактерий, устойчивых к пенициллинам, тетрациклинам, сульфаниламидам.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Активен в отношении многих грамположительных и грамотрицательных бактерий, возбудителей гнойных инфекций, брюшного тифа, дизентерии, менингококковой инфекции, гемофильных бактерий, 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Escherichia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coli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,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Shigella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dysenteria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spp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.,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Shigella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flexneri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spp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.,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Shigella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boydii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spp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.,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Shigella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sonnei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spp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.,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Salmonella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spp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. 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(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в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т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.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ч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 xml:space="preserve">. Salmonella typhi, Salmonella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paratyphi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), Staphylococcus spp., Streptococcus spp. (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в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т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.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ч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. Streptococcus pneumoniae), Neisseria meningitidis,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 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ряда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штаммов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 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 xml:space="preserve">Proteus spp., Pseudomonas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pseudomallei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, Rickettsia spp., Treponema spp., Leptospira spp., Chlamydia spp. (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в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т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.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ч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 xml:space="preserve">. Chlamydia trachomatis), Coxiella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burnetii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 xml:space="preserve">,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Ehrlichia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canis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 xml:space="preserve">, Bacteroides fragilis, Klebsiella pneumoniae, </w:t>
      </w:r>
      <w:proofErr w:type="spellStart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Haemophilus</w:t>
      </w:r>
      <w:proofErr w:type="spellEnd"/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 xml:space="preserve"> influenzae.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He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действует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на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кислотоустойчивые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бактерии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 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(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в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т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.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ч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. Mycobacterium tuberculosis)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,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синегнойную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палочку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, </w:t>
      </w:r>
      <w:proofErr w:type="spellStart"/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клостридии</w:t>
      </w:r>
      <w:proofErr w:type="spellEnd"/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,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устойчивые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к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метициллину</w:t>
      </w:r>
      <w:proofErr w:type="spellEnd"/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штаммы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стафилококки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, 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Acinetobacter, Enterobacter, Serratia marcescens,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 </w:t>
      </w:r>
      <w:proofErr w:type="spellStart"/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индолположительные</w:t>
      </w:r>
      <w:proofErr w:type="spellEnd"/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штаммы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 </w:t>
      </w:r>
      <w:r w:rsidRPr="007F5C11">
        <w:rPr>
          <w:rFonts w:ascii="Times New Roman" w:eastAsia="Calibri" w:hAnsi="Times New Roman" w:cs="Times New Roman"/>
          <w:i/>
          <w:iCs/>
          <w:sz w:val="18"/>
          <w:szCs w:val="18"/>
          <w:lang w:val="en-US" w:eastAsia="en-US"/>
        </w:rPr>
        <w:t>Proteus spp., Pseudomonas aeruginosa spp.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,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простейшие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грибы</w:t>
      </w:r>
      <w:r w:rsidRPr="007F5C11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Устойчивость микроорганизмов к </w:t>
      </w:r>
      <w:proofErr w:type="spellStart"/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хлорамфениколу</w:t>
      </w:r>
      <w:proofErr w:type="spellEnd"/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развивается медленно.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i/>
          <w:sz w:val="18"/>
          <w:szCs w:val="18"/>
        </w:rPr>
        <w:t>Фармакокинетика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eastAsia="Calibri" w:hAnsi="Times New Roman" w:cs="Times New Roman"/>
          <w:i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>Абсорбция – 90 % (быстрая и почти полная). Биодоступность – 80 % после приема внутрь и 70 % - после в/м введения. Связь с белками плазмы – 50-60 %, у недоношенных новорожденных – 32</w:t>
      </w:r>
      <w:r w:rsidRPr="006A0BC5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 xml:space="preserve"> </w:t>
      </w:r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>%. Время достижения максимальной концентрации (</w:t>
      </w:r>
      <w:r w:rsidRPr="007F5C11">
        <w:rPr>
          <w:rFonts w:ascii="Times New Roman" w:eastAsia="Calibri" w:hAnsi="Times New Roman" w:cs="Times New Roman"/>
          <w:iCs/>
          <w:sz w:val="18"/>
          <w:szCs w:val="18"/>
          <w:lang w:val="en-US" w:eastAsia="en-US"/>
        </w:rPr>
        <w:t>TC</w:t>
      </w:r>
      <w:proofErr w:type="spellStart"/>
      <w:r w:rsidRPr="007F5C11">
        <w:rPr>
          <w:rFonts w:ascii="Times New Roman" w:eastAsia="Calibri" w:hAnsi="Times New Roman" w:cs="Times New Roman"/>
          <w:iCs/>
          <w:sz w:val="18"/>
          <w:szCs w:val="18"/>
          <w:vertAlign w:val="subscript"/>
          <w:lang w:eastAsia="en-US"/>
        </w:rPr>
        <w:t>max</w:t>
      </w:r>
      <w:proofErr w:type="spellEnd"/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>) после перорального приема – 1-3 ч, после в/в введения – 1-1,5 ч. Объем распределения – 0,6-1 л/кг. Терапевтическая концентрация в крови сохраняется в течение 4-5 ч после приема.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eastAsia="Calibri" w:hAnsi="Times New Roman" w:cs="Times New Roman"/>
          <w:i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>Хорошо проникает в жидкости и ткани организма. Наибольшие его концентрации создаются в печени и почках. В желчи обнаруживается до 30 % от введенной дозы. Максимальная концентрация (</w:t>
      </w:r>
      <w:r w:rsidRPr="007F5C11">
        <w:rPr>
          <w:rFonts w:ascii="Times New Roman" w:eastAsia="Calibri" w:hAnsi="Times New Roman" w:cs="Times New Roman"/>
          <w:iCs/>
          <w:sz w:val="18"/>
          <w:szCs w:val="18"/>
          <w:lang w:val="en-US" w:eastAsia="en-US"/>
        </w:rPr>
        <w:t>C</w:t>
      </w:r>
      <w:proofErr w:type="spellStart"/>
      <w:r w:rsidRPr="007F5C11">
        <w:rPr>
          <w:rFonts w:ascii="Times New Roman" w:eastAsia="Calibri" w:hAnsi="Times New Roman" w:cs="Times New Roman"/>
          <w:iCs/>
          <w:sz w:val="18"/>
          <w:szCs w:val="18"/>
          <w:vertAlign w:val="subscript"/>
          <w:lang w:eastAsia="en-US"/>
        </w:rPr>
        <w:t>max</w:t>
      </w:r>
      <w:proofErr w:type="spellEnd"/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>) в спинномозговой жидкости (СМЖ) определяется через 4-5 ч после однократного приема внутрь и может достигать при отсутствии воспаления мозговых оболочек 21-50 % от максимальной концентрации (</w:t>
      </w:r>
      <w:r w:rsidRPr="007F5C11">
        <w:rPr>
          <w:rFonts w:ascii="Times New Roman" w:eastAsia="Calibri" w:hAnsi="Times New Roman" w:cs="Times New Roman"/>
          <w:iCs/>
          <w:sz w:val="18"/>
          <w:szCs w:val="18"/>
          <w:lang w:val="en-US" w:eastAsia="en-US"/>
        </w:rPr>
        <w:t>C</w:t>
      </w:r>
      <w:proofErr w:type="spellStart"/>
      <w:r w:rsidRPr="007F5C11">
        <w:rPr>
          <w:rFonts w:ascii="Times New Roman" w:eastAsia="Calibri" w:hAnsi="Times New Roman" w:cs="Times New Roman"/>
          <w:iCs/>
          <w:sz w:val="18"/>
          <w:szCs w:val="18"/>
          <w:vertAlign w:val="subscript"/>
          <w:lang w:eastAsia="en-US"/>
        </w:rPr>
        <w:t>max</w:t>
      </w:r>
      <w:proofErr w:type="spellEnd"/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>) в плазме и 45-89 % - при наличии воспаления мозговых оболочек. Проходит через плацентарный барьер, концентрации в сыворотке крови плода могут составлять 30-80 % от таковой в крови матери. Проникает в грудное молоко.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eastAsia="Calibri" w:hAnsi="Times New Roman" w:cs="Times New Roman"/>
          <w:i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 xml:space="preserve">Основное количество (90 %) </w:t>
      </w:r>
      <w:proofErr w:type="spellStart"/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>метаболизируется</w:t>
      </w:r>
      <w:proofErr w:type="spellEnd"/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 xml:space="preserve"> в печени. В кишечнике под влиянием кишечных бактерий гидролизуется с образованием неактивных метаболитов.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eastAsia="Calibri" w:hAnsi="Times New Roman" w:cs="Times New Roman"/>
          <w:i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 xml:space="preserve">Выводится в течение 24 ч почками – 90 % (путем клубочковой фильтрации – 5-10 % в неизменном виде, путем </w:t>
      </w:r>
      <w:proofErr w:type="spellStart"/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>канальцевой</w:t>
      </w:r>
      <w:proofErr w:type="spellEnd"/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 xml:space="preserve"> секреции в виде неактивных метаболитов – 80 %), через кишечник – 1-3 %. Период полувыведения у взрослых 1,5-3,5 ч, при нарушении функции почек - 3-11 ч. Период полувыведения у детей от 3 лет до 16 лет – 3-6,5 ч. Слабо выводится в ходе гемодиализа.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Показания к применению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>Инфекции мочевыводящих и желчевыводящих путей, вызванные чувствительными микроорганизмами.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/>
          <w:bCs/>
          <w:spacing w:val="1"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pacing w:val="1"/>
          <w:sz w:val="18"/>
          <w:szCs w:val="18"/>
        </w:rPr>
        <w:t>Противопоказания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Повышенная чувствительность к </w:t>
      </w:r>
      <w:proofErr w:type="spellStart"/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хлорамфениколу</w:t>
      </w:r>
      <w:proofErr w:type="spellEnd"/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или другим компонентам препарата, угнетение костномозгового кроветворения, острая </w:t>
      </w:r>
      <w:proofErr w:type="spellStart"/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интермиттирующая</w:t>
      </w:r>
      <w:proofErr w:type="spellEnd"/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порфирия, дефицит глюкозо-6-фосфатдегидрогеназы, печеночная и/или почечная недостаточность, беременность, период лактации, дети младше 3-х лет и с массой тела менее 20 кг.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lastRenderedPageBreak/>
        <w:t>С осторожностью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Пациентам, получавшим ранее лечение цитостатическими препаратами или лучевую терапию.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Применение при беременности и в период грудного вскармливания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Препарат противопоказан при беременности и в период грудного вскармливания.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hAnsi="Times New Roman" w:cs="Times New Roman"/>
          <w:b/>
          <w:bCs/>
          <w:spacing w:val="1"/>
          <w:sz w:val="18"/>
          <w:szCs w:val="18"/>
        </w:rPr>
        <w:t>Способ применения и дозы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iCs/>
          <w:sz w:val="18"/>
          <w:szCs w:val="18"/>
          <w:lang w:eastAsia="en-US"/>
        </w:rPr>
        <w:t>Внутрь (з</w:t>
      </w: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а 30 мин до еды, а при развитии тошноты и рвоты – через 1 ч после еды) 3-4 раза в сутки. 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Разовая доза для взрослых 250-500 мг, суточная – 2000 мг.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Детям старше 3-х лет и с массой тела более 20 кг применяют по 12,5 мг/кг каждые 6 ч или по 25 мг/кг каждые 12 ч (под контролем концентрации препарата в сыворотке крови).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sz w:val="18"/>
          <w:szCs w:val="18"/>
          <w:lang w:eastAsia="en-US"/>
        </w:rPr>
        <w:t>Средняя продолжительность лечения – 8-10 дней.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Побочное действие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F5C11">
        <w:rPr>
          <w:rFonts w:ascii="Times New Roman" w:hAnsi="Times New Roman" w:cs="Times New Roman"/>
          <w:iCs/>
          <w:sz w:val="18"/>
          <w:szCs w:val="18"/>
        </w:rPr>
        <w:t xml:space="preserve">Со стороны пищеварительной системы: </w:t>
      </w:r>
      <w:r w:rsidRPr="007F5C11">
        <w:rPr>
          <w:rFonts w:ascii="Times New Roman" w:hAnsi="Times New Roman" w:cs="Times New Roman"/>
          <w:sz w:val="18"/>
          <w:szCs w:val="18"/>
        </w:rPr>
        <w:t>диспепсия, тошнота, рвота (вероятность развития снижается при приеме через 1 ч после еды), диарея, раздражение слизистой оболочки полости рта и зева, дисбактериоз (подавление нормальной микрофлоры).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F5C11">
        <w:rPr>
          <w:rFonts w:ascii="Times New Roman" w:hAnsi="Times New Roman" w:cs="Times New Roman"/>
          <w:iCs/>
          <w:sz w:val="18"/>
          <w:szCs w:val="18"/>
        </w:rPr>
        <w:t xml:space="preserve">Со стороны органов кроветворения: </w:t>
      </w:r>
      <w:proofErr w:type="spellStart"/>
      <w:r w:rsidRPr="007F5C11">
        <w:rPr>
          <w:rFonts w:ascii="Times New Roman" w:hAnsi="Times New Roman" w:cs="Times New Roman"/>
          <w:sz w:val="18"/>
          <w:szCs w:val="18"/>
        </w:rPr>
        <w:t>ретикулоцитопения</w:t>
      </w:r>
      <w:proofErr w:type="spellEnd"/>
      <w:r w:rsidRPr="007F5C11">
        <w:rPr>
          <w:rFonts w:ascii="Times New Roman" w:hAnsi="Times New Roman" w:cs="Times New Roman"/>
          <w:sz w:val="18"/>
          <w:szCs w:val="18"/>
        </w:rPr>
        <w:t xml:space="preserve">, лейкопения, </w:t>
      </w:r>
      <w:proofErr w:type="spellStart"/>
      <w:r w:rsidRPr="007F5C11">
        <w:rPr>
          <w:rFonts w:ascii="Times New Roman" w:hAnsi="Times New Roman" w:cs="Times New Roman"/>
          <w:sz w:val="18"/>
          <w:szCs w:val="18"/>
        </w:rPr>
        <w:t>гранулоцитопения</w:t>
      </w:r>
      <w:proofErr w:type="spellEnd"/>
      <w:r w:rsidRPr="007F5C11">
        <w:rPr>
          <w:rFonts w:ascii="Times New Roman" w:hAnsi="Times New Roman" w:cs="Times New Roman"/>
          <w:sz w:val="18"/>
          <w:szCs w:val="18"/>
        </w:rPr>
        <w:t xml:space="preserve">, тромбоцитопения, </w:t>
      </w:r>
      <w:proofErr w:type="spellStart"/>
      <w:r w:rsidRPr="007F5C11">
        <w:rPr>
          <w:rFonts w:ascii="Times New Roman" w:hAnsi="Times New Roman" w:cs="Times New Roman"/>
          <w:sz w:val="18"/>
          <w:szCs w:val="18"/>
        </w:rPr>
        <w:t>эритроцитопения</w:t>
      </w:r>
      <w:proofErr w:type="spellEnd"/>
      <w:r w:rsidRPr="007F5C11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7F5C11">
        <w:rPr>
          <w:rFonts w:ascii="Times New Roman" w:hAnsi="Times New Roman" w:cs="Times New Roman"/>
          <w:sz w:val="18"/>
          <w:szCs w:val="18"/>
        </w:rPr>
        <w:t>апластическая</w:t>
      </w:r>
      <w:proofErr w:type="spellEnd"/>
      <w:r w:rsidRPr="007F5C11">
        <w:rPr>
          <w:rFonts w:ascii="Times New Roman" w:hAnsi="Times New Roman" w:cs="Times New Roman"/>
          <w:sz w:val="18"/>
          <w:szCs w:val="18"/>
        </w:rPr>
        <w:t xml:space="preserve"> анемия, агранулоцитоз.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F5C11">
        <w:rPr>
          <w:rFonts w:ascii="Times New Roman" w:hAnsi="Times New Roman" w:cs="Times New Roman"/>
          <w:iCs/>
          <w:sz w:val="18"/>
          <w:szCs w:val="18"/>
        </w:rPr>
        <w:t>Со стороны нервной системы:</w:t>
      </w:r>
      <w:r w:rsidRPr="007F5C11">
        <w:rPr>
          <w:rFonts w:ascii="Times New Roman" w:hAnsi="Times New Roman" w:cs="Times New Roman"/>
          <w:sz w:val="18"/>
          <w:szCs w:val="18"/>
        </w:rPr>
        <w:t xml:space="preserve"> психомоторные расстройства, депрессия, спутанность сознания, периферический неврит, неврит зрительного нерва, зрительные и слуховые галлюцинации, снижение остроты зрения и слуха, головная боль.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F5C11">
        <w:rPr>
          <w:rFonts w:ascii="Times New Roman" w:hAnsi="Times New Roman" w:cs="Times New Roman"/>
          <w:iCs/>
          <w:sz w:val="18"/>
          <w:szCs w:val="18"/>
        </w:rPr>
        <w:t>Аллергические реакции:</w:t>
      </w:r>
      <w:r w:rsidRPr="007F5C11">
        <w:rPr>
          <w:rFonts w:ascii="Times New Roman" w:hAnsi="Times New Roman" w:cs="Times New Roman"/>
          <w:sz w:val="18"/>
          <w:szCs w:val="18"/>
        </w:rPr>
        <w:t xml:space="preserve"> кожная сыпь, ангионевротический отек.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F5C11">
        <w:rPr>
          <w:rFonts w:ascii="Times New Roman" w:hAnsi="Times New Roman" w:cs="Times New Roman"/>
          <w:iCs/>
          <w:sz w:val="18"/>
          <w:szCs w:val="18"/>
        </w:rPr>
        <w:t>Прочие:</w:t>
      </w:r>
      <w:r w:rsidRPr="007F5C11">
        <w:rPr>
          <w:rFonts w:ascii="Times New Roman" w:hAnsi="Times New Roman" w:cs="Times New Roman"/>
          <w:sz w:val="18"/>
          <w:szCs w:val="18"/>
        </w:rPr>
        <w:t> вторичная грибковая инфекция.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Передозировка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bCs/>
          <w:spacing w:val="2"/>
          <w:sz w:val="18"/>
          <w:szCs w:val="18"/>
        </w:rPr>
      </w:pPr>
      <w:r w:rsidRPr="007F5C11">
        <w:rPr>
          <w:rFonts w:ascii="Times New Roman" w:hAnsi="Times New Roman" w:cs="Times New Roman"/>
          <w:bCs/>
          <w:spacing w:val="2"/>
          <w:sz w:val="18"/>
          <w:szCs w:val="18"/>
        </w:rPr>
        <w:t xml:space="preserve">Симптомы: угнетение костномозгового кроветворения, желудочно-кишечные расстройства, поражение печени и почек, нейропатия (в том числе зрительного нерва) и ретинопатия. 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bCs/>
          <w:spacing w:val="2"/>
          <w:sz w:val="18"/>
          <w:szCs w:val="18"/>
        </w:rPr>
      </w:pPr>
      <w:r w:rsidRPr="007F5C11">
        <w:rPr>
          <w:rFonts w:ascii="Times New Roman" w:hAnsi="Times New Roman" w:cs="Times New Roman"/>
          <w:bCs/>
          <w:spacing w:val="2"/>
          <w:sz w:val="18"/>
          <w:szCs w:val="18"/>
        </w:rPr>
        <w:t>Лечение: гемосорбция, симптоматическая терапия.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pacing w:val="2"/>
          <w:sz w:val="18"/>
          <w:szCs w:val="18"/>
        </w:rPr>
        <w:t>Взаимодействие с другими лекарственными средствами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Подавляет ферментную систему цитохрома </w:t>
      </w: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val="en-US" w:eastAsia="en-US"/>
        </w:rPr>
        <w:t>P</w:t>
      </w: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450, поэтому при одновременном применении с фенобарбиталом, фенитоином, непрямыми антикоагулянтами отмечается ослабление метаболизма этих лекарственных средств, замедление выведения и повышение их концентрации в плазме. 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Снижает антибактериальный эффект пенициллинов и цефалоспоринов. 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При одновременном применении с эритромицином, </w:t>
      </w:r>
      <w:proofErr w:type="spellStart"/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>клиндамицином</w:t>
      </w:r>
      <w:proofErr w:type="spellEnd"/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, </w:t>
      </w:r>
      <w:proofErr w:type="spellStart"/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>линкомицином</w:t>
      </w:r>
      <w:proofErr w:type="spellEnd"/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 отмечается взаимное ослабление действия за счет того, что </w:t>
      </w:r>
      <w:proofErr w:type="spellStart"/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>хлорамфеникол</w:t>
      </w:r>
      <w:proofErr w:type="spellEnd"/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 может вытеснять эти лекарственные средства из связанного состояния или препятствовать их связыванию с субъединицей 50</w:t>
      </w: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val="en-US" w:eastAsia="en-US"/>
        </w:rPr>
        <w:t>S</w:t>
      </w: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 бактериальных рибосом.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Одновременное назначение с лекарственными средствами, </w:t>
      </w: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угнетающими кроветворение (сульфаниламиды, </w:t>
      </w:r>
      <w:proofErr w:type="spellStart"/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>цитостатики</w:t>
      </w:r>
      <w:proofErr w:type="spellEnd"/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>), влияющими на обмен веществ в печени, с лучевой терапией увеличивает риск развития побочного действия.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>При назначении с пероральными гипогликемическими лекарственными средствами отмечается усиление их действия (за счет подавления метаболизма в печени и повышения их концентрации в плазме).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Миелотоксические лекарственные средства усиливают проявления </w:t>
      </w:r>
      <w:proofErr w:type="spellStart"/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>гематотоксичности</w:t>
      </w:r>
      <w:proofErr w:type="spellEnd"/>
      <w:r w:rsidRPr="007F5C11">
        <w:rPr>
          <w:rFonts w:ascii="Times New Roman" w:eastAsia="Calibri" w:hAnsi="Times New Roman" w:cs="Times New Roman"/>
          <w:bCs/>
          <w:iCs/>
          <w:sz w:val="18"/>
          <w:szCs w:val="18"/>
          <w:lang w:eastAsia="en-US"/>
        </w:rPr>
        <w:t xml:space="preserve"> препарата.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Особые указания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При одновременном приеме этанола возможно развитие </w:t>
      </w:r>
      <w:proofErr w:type="spellStart"/>
      <w:r w:rsidRPr="007F5C11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дисульфирамоподобной</w:t>
      </w:r>
      <w:proofErr w:type="spellEnd"/>
      <w:r w:rsidRPr="007F5C11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реакции (гиперемия кожных покровов, тахикардия, тошнота, рвота, рефлекторный кашель, судороги).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7F5C11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 процессе лечения необходим систематический контроль картины периферической крови.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b/>
          <w:sz w:val="18"/>
          <w:szCs w:val="18"/>
        </w:rPr>
        <w:t>Влияние на способность управлять транспортными средствами, механизмами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>В период лечения препаратом необходимо соблюдать особую осторожность при управлении транспортными средствами и занятии другими потенциально опасными видами деятельности, требующими повышенной концентрации внимания и быстроты психомоторных реакций.</w:t>
      </w:r>
    </w:p>
    <w:p w:rsidR="006A0BC5" w:rsidRPr="007F5C11" w:rsidRDefault="006A0BC5" w:rsidP="006A0BC5">
      <w:pPr>
        <w:widowControl w:val="0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Форма выпуска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F5C11">
        <w:rPr>
          <w:rFonts w:ascii="Times New Roman" w:hAnsi="Times New Roman" w:cs="Times New Roman"/>
          <w:bCs/>
          <w:iCs/>
          <w:sz w:val="18"/>
          <w:szCs w:val="18"/>
        </w:rPr>
        <w:t>Таблетки, покрытые пленочной оболочкой, 250 мг, 500 мг.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F5C11">
        <w:rPr>
          <w:rFonts w:ascii="Times New Roman" w:hAnsi="Times New Roman" w:cs="Times New Roman"/>
          <w:bCs/>
          <w:sz w:val="18"/>
          <w:szCs w:val="18"/>
        </w:rPr>
        <w:t xml:space="preserve">По 10 или 15 таблеток в контурной ячейковой упаковке из пленки поливинилхлоридной и фольги алюминиевой печатной лакированной. 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F5C11">
        <w:rPr>
          <w:rFonts w:ascii="Times New Roman" w:hAnsi="Times New Roman" w:cs="Times New Roman"/>
          <w:bCs/>
          <w:sz w:val="18"/>
          <w:szCs w:val="18"/>
        </w:rPr>
        <w:t>1, 2, 3, 4, 5, 6 или 10 контурных ячейковых упаковок с инструкцией по применению в пачке из картона.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Условия хранения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>В оригинальной упаковке, при температуре не выше 30 °С</w:t>
      </w:r>
      <w:r w:rsidRPr="007F5C11">
        <w:rPr>
          <w:rFonts w:ascii="Times New Roman" w:hAnsi="Times New Roman" w:cs="Times New Roman"/>
          <w:bCs/>
          <w:sz w:val="18"/>
          <w:szCs w:val="18"/>
        </w:rPr>
        <w:t>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F5C11">
        <w:rPr>
          <w:rFonts w:ascii="Times New Roman" w:hAnsi="Times New Roman" w:cs="Times New Roman"/>
          <w:bCs/>
          <w:sz w:val="18"/>
          <w:szCs w:val="18"/>
        </w:rPr>
        <w:t>Хранить в недоступном для детей месте.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Срок годности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 xml:space="preserve">3 года. 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>Не использовать после окончания срока, указанного на упаковке.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F5C11">
        <w:rPr>
          <w:rFonts w:ascii="Times New Roman" w:hAnsi="Times New Roman" w:cs="Times New Roman"/>
          <w:b/>
          <w:bCs/>
          <w:sz w:val="18"/>
          <w:szCs w:val="18"/>
        </w:rPr>
        <w:t>Условия отпуска</w:t>
      </w:r>
    </w:p>
    <w:p w:rsidR="006A0BC5" w:rsidRPr="007F5C11" w:rsidRDefault="006A0BC5" w:rsidP="006A0BC5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ind w:left="34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pacing w:val="-2"/>
          <w:sz w:val="18"/>
          <w:szCs w:val="18"/>
        </w:rPr>
        <w:t>Отпускают по рецепту.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F5C11">
        <w:rPr>
          <w:rFonts w:ascii="Times New Roman" w:hAnsi="Times New Roman" w:cs="Times New Roman"/>
          <w:b/>
          <w:sz w:val="18"/>
          <w:szCs w:val="18"/>
        </w:rPr>
        <w:t>Юридическое лицо, на имя которого выдано регистрационное удостоверение/ Организация, принимающая претензии потребителей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>ООО «БРАЙТФАРМ», Россия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>249033, Калужская обл., г. Обнинск, ул. Горького, д. 4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 xml:space="preserve">Тел/факс: (495) 984-28-40/41; </w:t>
      </w:r>
      <w:proofErr w:type="gramStart"/>
      <w:r w:rsidRPr="007F5C1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F5C11">
        <w:rPr>
          <w:rFonts w:ascii="Times New Roman" w:hAnsi="Times New Roman" w:cs="Times New Roman"/>
          <w:sz w:val="18"/>
          <w:szCs w:val="18"/>
        </w:rPr>
        <w:t>-</w:t>
      </w:r>
      <w:r w:rsidRPr="007F5C1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F5C11">
        <w:rPr>
          <w:rFonts w:ascii="Times New Roman" w:hAnsi="Times New Roman" w:cs="Times New Roman"/>
          <w:sz w:val="18"/>
          <w:szCs w:val="18"/>
        </w:rPr>
        <w:t>:life-sciences@yandex.ru</w:t>
      </w:r>
      <w:proofErr w:type="gramEnd"/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F5C11">
        <w:rPr>
          <w:rFonts w:ascii="Times New Roman" w:hAnsi="Times New Roman" w:cs="Times New Roman"/>
          <w:b/>
          <w:sz w:val="18"/>
          <w:szCs w:val="18"/>
        </w:rPr>
        <w:t>Производитель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>ЗАО «</w:t>
      </w:r>
      <w:proofErr w:type="spellStart"/>
      <w:r w:rsidRPr="007F5C11">
        <w:rPr>
          <w:rFonts w:ascii="Times New Roman" w:hAnsi="Times New Roman" w:cs="Times New Roman"/>
          <w:sz w:val="18"/>
          <w:szCs w:val="18"/>
        </w:rPr>
        <w:t>Обнинская</w:t>
      </w:r>
      <w:proofErr w:type="spellEnd"/>
      <w:r w:rsidRPr="007F5C11">
        <w:rPr>
          <w:rFonts w:ascii="Times New Roman" w:hAnsi="Times New Roman" w:cs="Times New Roman"/>
          <w:sz w:val="18"/>
          <w:szCs w:val="18"/>
        </w:rPr>
        <w:t xml:space="preserve"> химико-фармацевтическая компания» (ЗАО «ОХФК»), Россия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>Юридический адрес: 249036, Калужская обл., г. Обнинск, ул. Королева, д. 4</w:t>
      </w:r>
    </w:p>
    <w:p w:rsidR="006A0BC5" w:rsidRPr="007F5C11" w:rsidRDefault="006A0BC5" w:rsidP="006A0BC5">
      <w:pPr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 xml:space="preserve">Адрес места производства: Калужская обл., г. Обнинск, Киевское шоссе, </w:t>
      </w:r>
      <w:proofErr w:type="spellStart"/>
      <w:r w:rsidRPr="007F5C11">
        <w:rPr>
          <w:rFonts w:ascii="Times New Roman" w:hAnsi="Times New Roman" w:cs="Times New Roman"/>
          <w:sz w:val="18"/>
          <w:szCs w:val="18"/>
        </w:rPr>
        <w:t>зд</w:t>
      </w:r>
      <w:proofErr w:type="spellEnd"/>
      <w:r w:rsidRPr="007F5C11">
        <w:rPr>
          <w:rFonts w:ascii="Times New Roman" w:hAnsi="Times New Roman" w:cs="Times New Roman"/>
          <w:sz w:val="18"/>
          <w:szCs w:val="18"/>
        </w:rPr>
        <w:t xml:space="preserve">. 103, </w:t>
      </w:r>
      <w:proofErr w:type="spellStart"/>
      <w:r w:rsidRPr="007F5C11">
        <w:rPr>
          <w:rFonts w:ascii="Times New Roman" w:hAnsi="Times New Roman" w:cs="Times New Roman"/>
          <w:sz w:val="18"/>
          <w:szCs w:val="18"/>
        </w:rPr>
        <w:t>зд</w:t>
      </w:r>
      <w:proofErr w:type="spellEnd"/>
      <w:r w:rsidRPr="007F5C11">
        <w:rPr>
          <w:rFonts w:ascii="Times New Roman" w:hAnsi="Times New Roman" w:cs="Times New Roman"/>
          <w:sz w:val="18"/>
          <w:szCs w:val="18"/>
        </w:rPr>
        <w:t>. 107</w:t>
      </w:r>
    </w:p>
    <w:p w:rsidR="006A0BC5" w:rsidRDefault="006A0BC5" w:rsidP="006A0BC5">
      <w:pPr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5C11">
        <w:rPr>
          <w:rFonts w:ascii="Times New Roman" w:hAnsi="Times New Roman" w:cs="Times New Roman"/>
          <w:sz w:val="18"/>
          <w:szCs w:val="18"/>
        </w:rPr>
        <w:t>Тел./факс: (484) 399-38-41, (484) 399-38-42;</w:t>
      </w:r>
    </w:p>
    <w:p w:rsidR="00B97C26" w:rsidRPr="006A0BC5" w:rsidRDefault="006A0BC5" w:rsidP="006A0BC5">
      <w:pPr>
        <w:spacing w:line="312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F5C1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F5C11">
        <w:rPr>
          <w:rFonts w:ascii="Times New Roman" w:hAnsi="Times New Roman" w:cs="Times New Roman"/>
          <w:sz w:val="18"/>
          <w:szCs w:val="18"/>
        </w:rPr>
        <w:t>-</w:t>
      </w:r>
      <w:r w:rsidRPr="007F5C1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F5C11">
        <w:rPr>
          <w:rFonts w:ascii="Times New Roman" w:hAnsi="Times New Roman" w:cs="Times New Roman"/>
          <w:sz w:val="18"/>
          <w:szCs w:val="18"/>
        </w:rPr>
        <w:t>:</w:t>
      </w:r>
      <w:hyperlink r:id="rId8" w:history="1"/>
      <w:r w:rsidRPr="007F5C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F5C11">
        <w:rPr>
          <w:rFonts w:ascii="Times New Roman" w:hAnsi="Times New Roman" w:cs="Times New Roman"/>
          <w:sz w:val="18"/>
          <w:szCs w:val="18"/>
          <w:lang w:val="en-US"/>
        </w:rPr>
        <w:t>obninsk</w:t>
      </w:r>
      <w:proofErr w:type="spellEnd"/>
      <w:r w:rsidRPr="007F5C11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7F5C11">
        <w:rPr>
          <w:rFonts w:ascii="Times New Roman" w:hAnsi="Times New Roman" w:cs="Times New Roman"/>
          <w:sz w:val="18"/>
          <w:szCs w:val="18"/>
          <w:lang w:val="en-US"/>
        </w:rPr>
        <w:t>mirpharm</w:t>
      </w:r>
      <w:proofErr w:type="spellEnd"/>
      <w:r w:rsidRPr="007F5C11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7F5C1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5F15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7C26" w:rsidRPr="006A0BC5" w:rsidSect="00BA7801">
      <w:headerReference w:type="even" r:id="rId9"/>
      <w:footerReference w:type="even" r:id="rId10"/>
      <w:footerReference w:type="default" r:id="rId11"/>
      <w:pgSz w:w="10773" w:h="14742" w:code="119"/>
      <w:pgMar w:top="284" w:right="284" w:bottom="57" w:left="284" w:header="136" w:footer="0" w:gutter="0"/>
      <w:cols w:num="2" w:space="33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93E" w:rsidRDefault="00FE093E">
      <w:r>
        <w:separator/>
      </w:r>
    </w:p>
  </w:endnote>
  <w:endnote w:type="continuationSeparator" w:id="0">
    <w:p w:rsidR="00FE093E" w:rsidRDefault="00FE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B49" w:rsidRDefault="00B06192" w:rsidP="00E07D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6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B49" w:rsidRDefault="00E16B49" w:rsidP="00C8350D">
    <w:pPr>
      <w:pStyle w:val="a3"/>
      <w:ind w:right="360"/>
    </w:pPr>
  </w:p>
  <w:p w:rsidR="00F94D45" w:rsidRDefault="00F94D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B49" w:rsidRDefault="00E16B49" w:rsidP="00A565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93E" w:rsidRDefault="00FE093E">
      <w:r>
        <w:separator/>
      </w:r>
    </w:p>
  </w:footnote>
  <w:footnote w:type="continuationSeparator" w:id="0">
    <w:p w:rsidR="00FE093E" w:rsidRDefault="00FE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B49" w:rsidRDefault="00B06192" w:rsidP="00A5656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6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B49" w:rsidRDefault="00E16B49" w:rsidP="00A56564">
    <w:pPr>
      <w:pStyle w:val="a6"/>
      <w:ind w:right="360"/>
    </w:pPr>
  </w:p>
  <w:p w:rsidR="00F94D45" w:rsidRDefault="00F94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391"/>
    <w:multiLevelType w:val="hybridMultilevel"/>
    <w:tmpl w:val="E57A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40AB"/>
    <w:multiLevelType w:val="hybridMultilevel"/>
    <w:tmpl w:val="94F4DF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941CFE"/>
    <w:multiLevelType w:val="hybridMultilevel"/>
    <w:tmpl w:val="D25C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F110B"/>
    <w:multiLevelType w:val="hybridMultilevel"/>
    <w:tmpl w:val="89A0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7E3"/>
    <w:rsid w:val="00005B05"/>
    <w:rsid w:val="000144B9"/>
    <w:rsid w:val="00016F52"/>
    <w:rsid w:val="00032CA3"/>
    <w:rsid w:val="0003349C"/>
    <w:rsid w:val="000404B2"/>
    <w:rsid w:val="00041AA0"/>
    <w:rsid w:val="00041E74"/>
    <w:rsid w:val="000504EC"/>
    <w:rsid w:val="000521CA"/>
    <w:rsid w:val="000560F3"/>
    <w:rsid w:val="000577FA"/>
    <w:rsid w:val="0006211A"/>
    <w:rsid w:val="00090AAA"/>
    <w:rsid w:val="000A1801"/>
    <w:rsid w:val="000A1FD3"/>
    <w:rsid w:val="000B2154"/>
    <w:rsid w:val="000B3FF4"/>
    <w:rsid w:val="000B719D"/>
    <w:rsid w:val="000D15C0"/>
    <w:rsid w:val="000D1B25"/>
    <w:rsid w:val="000D6F2D"/>
    <w:rsid w:val="000D767A"/>
    <w:rsid w:val="000E4F2D"/>
    <w:rsid w:val="000E5A4F"/>
    <w:rsid w:val="000E7014"/>
    <w:rsid w:val="000F6359"/>
    <w:rsid w:val="001072A1"/>
    <w:rsid w:val="00110966"/>
    <w:rsid w:val="00114E77"/>
    <w:rsid w:val="0011556A"/>
    <w:rsid w:val="00124BEC"/>
    <w:rsid w:val="0012680F"/>
    <w:rsid w:val="00134EAD"/>
    <w:rsid w:val="00140617"/>
    <w:rsid w:val="00144154"/>
    <w:rsid w:val="00145B37"/>
    <w:rsid w:val="00152FE3"/>
    <w:rsid w:val="001547FE"/>
    <w:rsid w:val="00155029"/>
    <w:rsid w:val="00171599"/>
    <w:rsid w:val="00180B99"/>
    <w:rsid w:val="00183229"/>
    <w:rsid w:val="00187D27"/>
    <w:rsid w:val="00192FDB"/>
    <w:rsid w:val="0019332A"/>
    <w:rsid w:val="00194D96"/>
    <w:rsid w:val="001955FB"/>
    <w:rsid w:val="00196D95"/>
    <w:rsid w:val="001A3FBB"/>
    <w:rsid w:val="001A5661"/>
    <w:rsid w:val="001A7A5C"/>
    <w:rsid w:val="001B3CE0"/>
    <w:rsid w:val="001B4EFC"/>
    <w:rsid w:val="001B5CCB"/>
    <w:rsid w:val="001C3BFD"/>
    <w:rsid w:val="001C6806"/>
    <w:rsid w:val="001D1CFB"/>
    <w:rsid w:val="001D3EFC"/>
    <w:rsid w:val="001D5357"/>
    <w:rsid w:val="001E2EDF"/>
    <w:rsid w:val="001E48B4"/>
    <w:rsid w:val="001E5DF5"/>
    <w:rsid w:val="001E6653"/>
    <w:rsid w:val="001E7B15"/>
    <w:rsid w:val="001F054B"/>
    <w:rsid w:val="001F0DDE"/>
    <w:rsid w:val="001F2E7B"/>
    <w:rsid w:val="001F3DEF"/>
    <w:rsid w:val="001F4D9A"/>
    <w:rsid w:val="0020575E"/>
    <w:rsid w:val="00210577"/>
    <w:rsid w:val="00217C87"/>
    <w:rsid w:val="00221C6B"/>
    <w:rsid w:val="00225663"/>
    <w:rsid w:val="00230EF0"/>
    <w:rsid w:val="00263737"/>
    <w:rsid w:val="002668A7"/>
    <w:rsid w:val="0027379B"/>
    <w:rsid w:val="00277797"/>
    <w:rsid w:val="002826CE"/>
    <w:rsid w:val="00283B4F"/>
    <w:rsid w:val="0029471C"/>
    <w:rsid w:val="002A194F"/>
    <w:rsid w:val="002B4F89"/>
    <w:rsid w:val="002D0633"/>
    <w:rsid w:val="002D4654"/>
    <w:rsid w:val="002E75DE"/>
    <w:rsid w:val="0030036B"/>
    <w:rsid w:val="00301BEA"/>
    <w:rsid w:val="00304C1E"/>
    <w:rsid w:val="00305880"/>
    <w:rsid w:val="00311027"/>
    <w:rsid w:val="00315E02"/>
    <w:rsid w:val="003213B8"/>
    <w:rsid w:val="003232B9"/>
    <w:rsid w:val="00324D2A"/>
    <w:rsid w:val="00326530"/>
    <w:rsid w:val="00341DA1"/>
    <w:rsid w:val="003421C0"/>
    <w:rsid w:val="00347C96"/>
    <w:rsid w:val="003557A2"/>
    <w:rsid w:val="0035673B"/>
    <w:rsid w:val="00361ED6"/>
    <w:rsid w:val="00363360"/>
    <w:rsid w:val="00363DCC"/>
    <w:rsid w:val="003668D1"/>
    <w:rsid w:val="0037547D"/>
    <w:rsid w:val="003755B0"/>
    <w:rsid w:val="00385351"/>
    <w:rsid w:val="003874F8"/>
    <w:rsid w:val="00396911"/>
    <w:rsid w:val="003A0393"/>
    <w:rsid w:val="003A3A9C"/>
    <w:rsid w:val="003A583A"/>
    <w:rsid w:val="003B0D4C"/>
    <w:rsid w:val="003B0E6A"/>
    <w:rsid w:val="003B13A5"/>
    <w:rsid w:val="003B3740"/>
    <w:rsid w:val="003C2B5B"/>
    <w:rsid w:val="003C5195"/>
    <w:rsid w:val="003C5634"/>
    <w:rsid w:val="003D1886"/>
    <w:rsid w:val="003E5C7F"/>
    <w:rsid w:val="003E5F3C"/>
    <w:rsid w:val="003F7D59"/>
    <w:rsid w:val="00401655"/>
    <w:rsid w:val="0040501D"/>
    <w:rsid w:val="00423B0E"/>
    <w:rsid w:val="0043205D"/>
    <w:rsid w:val="00433C21"/>
    <w:rsid w:val="00435B4A"/>
    <w:rsid w:val="00440E47"/>
    <w:rsid w:val="0044482E"/>
    <w:rsid w:val="00444CFC"/>
    <w:rsid w:val="004507C2"/>
    <w:rsid w:val="0045422D"/>
    <w:rsid w:val="004556BA"/>
    <w:rsid w:val="00455B6C"/>
    <w:rsid w:val="00460BA5"/>
    <w:rsid w:val="00462EE7"/>
    <w:rsid w:val="00467109"/>
    <w:rsid w:val="004743F0"/>
    <w:rsid w:val="00477DFF"/>
    <w:rsid w:val="00480CB8"/>
    <w:rsid w:val="00484CF3"/>
    <w:rsid w:val="0049246D"/>
    <w:rsid w:val="004B717C"/>
    <w:rsid w:val="004B74A2"/>
    <w:rsid w:val="004D0669"/>
    <w:rsid w:val="004D2580"/>
    <w:rsid w:val="004D2C7E"/>
    <w:rsid w:val="004D5879"/>
    <w:rsid w:val="004D6798"/>
    <w:rsid w:val="00501A5B"/>
    <w:rsid w:val="00523841"/>
    <w:rsid w:val="00536A0A"/>
    <w:rsid w:val="00540EBA"/>
    <w:rsid w:val="005449EF"/>
    <w:rsid w:val="005458CC"/>
    <w:rsid w:val="00553433"/>
    <w:rsid w:val="0055447A"/>
    <w:rsid w:val="00554F71"/>
    <w:rsid w:val="00562AD4"/>
    <w:rsid w:val="00565828"/>
    <w:rsid w:val="00570A4E"/>
    <w:rsid w:val="00574B1E"/>
    <w:rsid w:val="00582AAE"/>
    <w:rsid w:val="005863C9"/>
    <w:rsid w:val="00590648"/>
    <w:rsid w:val="00593129"/>
    <w:rsid w:val="005A27E3"/>
    <w:rsid w:val="005A2E26"/>
    <w:rsid w:val="005A57FF"/>
    <w:rsid w:val="005B20EE"/>
    <w:rsid w:val="005B3E0D"/>
    <w:rsid w:val="005D4A7B"/>
    <w:rsid w:val="005F6464"/>
    <w:rsid w:val="00602A89"/>
    <w:rsid w:val="00610773"/>
    <w:rsid w:val="00611565"/>
    <w:rsid w:val="00622F7E"/>
    <w:rsid w:val="00632C2F"/>
    <w:rsid w:val="00634B5D"/>
    <w:rsid w:val="00654F59"/>
    <w:rsid w:val="00661FE4"/>
    <w:rsid w:val="00664594"/>
    <w:rsid w:val="00666E4B"/>
    <w:rsid w:val="00674DD9"/>
    <w:rsid w:val="0068241D"/>
    <w:rsid w:val="00682E0E"/>
    <w:rsid w:val="00683C52"/>
    <w:rsid w:val="00684D63"/>
    <w:rsid w:val="006A0BC5"/>
    <w:rsid w:val="006A23E3"/>
    <w:rsid w:val="006A4A8C"/>
    <w:rsid w:val="006A61A9"/>
    <w:rsid w:val="006B0218"/>
    <w:rsid w:val="006B037F"/>
    <w:rsid w:val="006E28A3"/>
    <w:rsid w:val="006F0638"/>
    <w:rsid w:val="006F1DA6"/>
    <w:rsid w:val="006F5217"/>
    <w:rsid w:val="00713A08"/>
    <w:rsid w:val="00720772"/>
    <w:rsid w:val="007213B0"/>
    <w:rsid w:val="00721AFB"/>
    <w:rsid w:val="00724B7D"/>
    <w:rsid w:val="007341F6"/>
    <w:rsid w:val="00735115"/>
    <w:rsid w:val="00735530"/>
    <w:rsid w:val="00743F95"/>
    <w:rsid w:val="00745395"/>
    <w:rsid w:val="007512D0"/>
    <w:rsid w:val="00763DFC"/>
    <w:rsid w:val="00764AD9"/>
    <w:rsid w:val="00765CCF"/>
    <w:rsid w:val="00773800"/>
    <w:rsid w:val="00775010"/>
    <w:rsid w:val="00775828"/>
    <w:rsid w:val="007769ED"/>
    <w:rsid w:val="007802B9"/>
    <w:rsid w:val="007842D0"/>
    <w:rsid w:val="00784FCB"/>
    <w:rsid w:val="00792693"/>
    <w:rsid w:val="00792A3C"/>
    <w:rsid w:val="00792EF8"/>
    <w:rsid w:val="00794DD5"/>
    <w:rsid w:val="00795DFD"/>
    <w:rsid w:val="007A1943"/>
    <w:rsid w:val="007A3395"/>
    <w:rsid w:val="007B6703"/>
    <w:rsid w:val="007B6E4C"/>
    <w:rsid w:val="007C30D1"/>
    <w:rsid w:val="007C4504"/>
    <w:rsid w:val="007C5625"/>
    <w:rsid w:val="007E0308"/>
    <w:rsid w:val="007E3B78"/>
    <w:rsid w:val="008008F7"/>
    <w:rsid w:val="0080320F"/>
    <w:rsid w:val="00810730"/>
    <w:rsid w:val="00813023"/>
    <w:rsid w:val="00814A34"/>
    <w:rsid w:val="00815AE3"/>
    <w:rsid w:val="00820A61"/>
    <w:rsid w:val="0082256F"/>
    <w:rsid w:val="00823D4E"/>
    <w:rsid w:val="00834037"/>
    <w:rsid w:val="00847DF6"/>
    <w:rsid w:val="00862862"/>
    <w:rsid w:val="0086513B"/>
    <w:rsid w:val="00884355"/>
    <w:rsid w:val="00887521"/>
    <w:rsid w:val="00893E2B"/>
    <w:rsid w:val="008A46A2"/>
    <w:rsid w:val="008A6DD9"/>
    <w:rsid w:val="008B083C"/>
    <w:rsid w:val="008B45BF"/>
    <w:rsid w:val="008D2FE2"/>
    <w:rsid w:val="008D43CD"/>
    <w:rsid w:val="008E5BDD"/>
    <w:rsid w:val="008F0C25"/>
    <w:rsid w:val="008F6023"/>
    <w:rsid w:val="00900439"/>
    <w:rsid w:val="00912B19"/>
    <w:rsid w:val="00912F14"/>
    <w:rsid w:val="00917140"/>
    <w:rsid w:val="00922391"/>
    <w:rsid w:val="00930D74"/>
    <w:rsid w:val="00940148"/>
    <w:rsid w:val="00946399"/>
    <w:rsid w:val="00950A9C"/>
    <w:rsid w:val="00951F31"/>
    <w:rsid w:val="009522EE"/>
    <w:rsid w:val="00953206"/>
    <w:rsid w:val="009751B6"/>
    <w:rsid w:val="0098073F"/>
    <w:rsid w:val="00981897"/>
    <w:rsid w:val="00983033"/>
    <w:rsid w:val="00986FF8"/>
    <w:rsid w:val="009963BC"/>
    <w:rsid w:val="009A150A"/>
    <w:rsid w:val="009A2765"/>
    <w:rsid w:val="009A4D8F"/>
    <w:rsid w:val="009A5E84"/>
    <w:rsid w:val="009A6605"/>
    <w:rsid w:val="009C17CF"/>
    <w:rsid w:val="009C21D3"/>
    <w:rsid w:val="009D1845"/>
    <w:rsid w:val="009E1EB9"/>
    <w:rsid w:val="009F25B9"/>
    <w:rsid w:val="009F40A7"/>
    <w:rsid w:val="00A007CC"/>
    <w:rsid w:val="00A01853"/>
    <w:rsid w:val="00A1560B"/>
    <w:rsid w:val="00A43C1F"/>
    <w:rsid w:val="00A51F74"/>
    <w:rsid w:val="00A54FAA"/>
    <w:rsid w:val="00A56564"/>
    <w:rsid w:val="00A80D67"/>
    <w:rsid w:val="00A84748"/>
    <w:rsid w:val="00A86D6F"/>
    <w:rsid w:val="00A94B87"/>
    <w:rsid w:val="00AA50F9"/>
    <w:rsid w:val="00AB2617"/>
    <w:rsid w:val="00AC00DB"/>
    <w:rsid w:val="00AC15CA"/>
    <w:rsid w:val="00AD3AA2"/>
    <w:rsid w:val="00AE0010"/>
    <w:rsid w:val="00AE5EA2"/>
    <w:rsid w:val="00AE6AD3"/>
    <w:rsid w:val="00AF03DE"/>
    <w:rsid w:val="00AF1FDE"/>
    <w:rsid w:val="00B039A9"/>
    <w:rsid w:val="00B06192"/>
    <w:rsid w:val="00B06615"/>
    <w:rsid w:val="00B14E34"/>
    <w:rsid w:val="00B14EB7"/>
    <w:rsid w:val="00B34E9B"/>
    <w:rsid w:val="00B50F63"/>
    <w:rsid w:val="00B6352F"/>
    <w:rsid w:val="00B8089A"/>
    <w:rsid w:val="00B823AD"/>
    <w:rsid w:val="00B87D5F"/>
    <w:rsid w:val="00B90532"/>
    <w:rsid w:val="00B97C26"/>
    <w:rsid w:val="00BA7647"/>
    <w:rsid w:val="00BA7801"/>
    <w:rsid w:val="00BC4DF5"/>
    <w:rsid w:val="00BD149F"/>
    <w:rsid w:val="00BD3973"/>
    <w:rsid w:val="00BD5BEA"/>
    <w:rsid w:val="00BD7CBE"/>
    <w:rsid w:val="00BE1798"/>
    <w:rsid w:val="00BE47FC"/>
    <w:rsid w:val="00BF3DB8"/>
    <w:rsid w:val="00BF7889"/>
    <w:rsid w:val="00C02608"/>
    <w:rsid w:val="00C032A8"/>
    <w:rsid w:val="00C0558E"/>
    <w:rsid w:val="00C11464"/>
    <w:rsid w:val="00C13140"/>
    <w:rsid w:val="00C209A6"/>
    <w:rsid w:val="00C22897"/>
    <w:rsid w:val="00C22975"/>
    <w:rsid w:val="00C27B58"/>
    <w:rsid w:val="00C30782"/>
    <w:rsid w:val="00C331FA"/>
    <w:rsid w:val="00C346B2"/>
    <w:rsid w:val="00C47FF9"/>
    <w:rsid w:val="00C51194"/>
    <w:rsid w:val="00C515FE"/>
    <w:rsid w:val="00C548A4"/>
    <w:rsid w:val="00C646A8"/>
    <w:rsid w:val="00C729A1"/>
    <w:rsid w:val="00C75E5E"/>
    <w:rsid w:val="00C8350D"/>
    <w:rsid w:val="00C8736A"/>
    <w:rsid w:val="00CB25CD"/>
    <w:rsid w:val="00CB2859"/>
    <w:rsid w:val="00CB723A"/>
    <w:rsid w:val="00CC03FC"/>
    <w:rsid w:val="00CC2026"/>
    <w:rsid w:val="00CE3F96"/>
    <w:rsid w:val="00CE456B"/>
    <w:rsid w:val="00CF7924"/>
    <w:rsid w:val="00D125F6"/>
    <w:rsid w:val="00D127E3"/>
    <w:rsid w:val="00D2607A"/>
    <w:rsid w:val="00D35225"/>
    <w:rsid w:val="00D406B8"/>
    <w:rsid w:val="00D42608"/>
    <w:rsid w:val="00D57D67"/>
    <w:rsid w:val="00D73881"/>
    <w:rsid w:val="00D74BD9"/>
    <w:rsid w:val="00D844DE"/>
    <w:rsid w:val="00D84CDE"/>
    <w:rsid w:val="00D856AA"/>
    <w:rsid w:val="00DB5EEF"/>
    <w:rsid w:val="00DB7566"/>
    <w:rsid w:val="00DC31A8"/>
    <w:rsid w:val="00DC3256"/>
    <w:rsid w:val="00DC3E6D"/>
    <w:rsid w:val="00DD6777"/>
    <w:rsid w:val="00DD6E1F"/>
    <w:rsid w:val="00DD7A4E"/>
    <w:rsid w:val="00DE1028"/>
    <w:rsid w:val="00DE3FBB"/>
    <w:rsid w:val="00DE6CEE"/>
    <w:rsid w:val="00DF1356"/>
    <w:rsid w:val="00DF2912"/>
    <w:rsid w:val="00DF414A"/>
    <w:rsid w:val="00DF4C0F"/>
    <w:rsid w:val="00E01887"/>
    <w:rsid w:val="00E01B0A"/>
    <w:rsid w:val="00E0339F"/>
    <w:rsid w:val="00E07DC3"/>
    <w:rsid w:val="00E16B49"/>
    <w:rsid w:val="00E17A9E"/>
    <w:rsid w:val="00E30C09"/>
    <w:rsid w:val="00E35F8E"/>
    <w:rsid w:val="00E56CD6"/>
    <w:rsid w:val="00E61452"/>
    <w:rsid w:val="00E644B9"/>
    <w:rsid w:val="00E64A77"/>
    <w:rsid w:val="00E676D7"/>
    <w:rsid w:val="00E678B0"/>
    <w:rsid w:val="00E9452F"/>
    <w:rsid w:val="00EA2827"/>
    <w:rsid w:val="00EB2A73"/>
    <w:rsid w:val="00EB720A"/>
    <w:rsid w:val="00EC624E"/>
    <w:rsid w:val="00EE5C8C"/>
    <w:rsid w:val="00F004D2"/>
    <w:rsid w:val="00F015A6"/>
    <w:rsid w:val="00F0183C"/>
    <w:rsid w:val="00F0343A"/>
    <w:rsid w:val="00F0399F"/>
    <w:rsid w:val="00F042FA"/>
    <w:rsid w:val="00F044DD"/>
    <w:rsid w:val="00F13ED4"/>
    <w:rsid w:val="00F155EE"/>
    <w:rsid w:val="00F16DFB"/>
    <w:rsid w:val="00F20CEB"/>
    <w:rsid w:val="00F23880"/>
    <w:rsid w:val="00F31237"/>
    <w:rsid w:val="00F31BE9"/>
    <w:rsid w:val="00F34075"/>
    <w:rsid w:val="00F357DB"/>
    <w:rsid w:val="00F44A09"/>
    <w:rsid w:val="00F532F1"/>
    <w:rsid w:val="00F606E4"/>
    <w:rsid w:val="00F62E98"/>
    <w:rsid w:val="00F76EBD"/>
    <w:rsid w:val="00F777A9"/>
    <w:rsid w:val="00F8582B"/>
    <w:rsid w:val="00F94D45"/>
    <w:rsid w:val="00F95E84"/>
    <w:rsid w:val="00FC514B"/>
    <w:rsid w:val="00FC5235"/>
    <w:rsid w:val="00FD45B4"/>
    <w:rsid w:val="00FE093E"/>
    <w:rsid w:val="00FE250E"/>
    <w:rsid w:val="00FE2DF4"/>
    <w:rsid w:val="00FE3DFE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0FBD"/>
  <w15:docId w15:val="{7A555EE4-6492-45B8-A361-7CE57317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717C"/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350D"/>
    <w:pPr>
      <w:tabs>
        <w:tab w:val="center" w:pos="4677"/>
        <w:tab w:val="right" w:pos="9355"/>
      </w:tabs>
    </w:pPr>
    <w:rPr>
      <w:rFonts w:cs="Times New Roman"/>
    </w:rPr>
  </w:style>
  <w:style w:type="character" w:styleId="a5">
    <w:name w:val="page number"/>
    <w:basedOn w:val="a0"/>
    <w:rsid w:val="00C8350D"/>
  </w:style>
  <w:style w:type="paragraph" w:styleId="a6">
    <w:name w:val="header"/>
    <w:basedOn w:val="a"/>
    <w:rsid w:val="00C8350D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7E3B78"/>
    <w:pPr>
      <w:spacing w:before="75" w:after="180"/>
      <w:ind w:left="75" w:right="75"/>
      <w:jc w:val="both"/>
    </w:pPr>
    <w:rPr>
      <w:rFonts w:ascii="Tahoma" w:hAnsi="Tahoma" w:cs="Tahoma"/>
      <w:sz w:val="20"/>
      <w:szCs w:val="20"/>
    </w:rPr>
  </w:style>
  <w:style w:type="character" w:styleId="a8">
    <w:name w:val="Hyperlink"/>
    <w:rsid w:val="009751B6"/>
    <w:rPr>
      <w:color w:val="0000FF"/>
      <w:u w:val="single"/>
    </w:rPr>
  </w:style>
  <w:style w:type="paragraph" w:styleId="a9">
    <w:name w:val="Balloon Text"/>
    <w:basedOn w:val="a"/>
    <w:semiHidden/>
    <w:rsid w:val="0019332A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C646A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79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irpharm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36DE2-5BBF-4861-9B10-827DF9D8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Mir-Pharm Ltd.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User</dc:creator>
  <cp:lastModifiedBy>Землянская Ольга</cp:lastModifiedBy>
  <cp:revision>3</cp:revision>
  <cp:lastPrinted>2018-08-07T07:26:00Z</cp:lastPrinted>
  <dcterms:created xsi:type="dcterms:W3CDTF">2018-08-07T10:16:00Z</dcterms:created>
  <dcterms:modified xsi:type="dcterms:W3CDTF">2018-08-07T10:20:00Z</dcterms:modified>
</cp:coreProperties>
</file>