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188" w:rsidRPr="00217188" w:rsidRDefault="00217188" w:rsidP="00385C01">
      <w:pPr>
        <w:spacing w:line="312" w:lineRule="auto"/>
        <w:jc w:val="center"/>
        <w:rPr>
          <w:sz w:val="16"/>
          <w:szCs w:val="16"/>
        </w:rPr>
      </w:pPr>
      <w:r w:rsidRPr="00217188">
        <w:rPr>
          <w:sz w:val="16"/>
          <w:szCs w:val="16"/>
        </w:rPr>
        <w:t>МИНИСТЕРСТВО ЗДРАВООХРАНЕНИЯ РОССИЙСКОЙ ФЕДЕРАЦИИ</w:t>
      </w:r>
    </w:p>
    <w:p w:rsidR="00217188" w:rsidRPr="00217188" w:rsidRDefault="00217188" w:rsidP="00385C01">
      <w:pPr>
        <w:spacing w:line="312" w:lineRule="auto"/>
        <w:jc w:val="center"/>
        <w:rPr>
          <w:caps/>
          <w:sz w:val="16"/>
          <w:szCs w:val="16"/>
        </w:rPr>
      </w:pPr>
    </w:p>
    <w:p w:rsidR="00217188" w:rsidRPr="00217188" w:rsidRDefault="00217188" w:rsidP="00385C01">
      <w:pPr>
        <w:spacing w:line="312" w:lineRule="auto"/>
        <w:jc w:val="center"/>
        <w:rPr>
          <w:caps/>
          <w:sz w:val="16"/>
          <w:szCs w:val="16"/>
        </w:rPr>
      </w:pPr>
      <w:r w:rsidRPr="00217188">
        <w:rPr>
          <w:caps/>
          <w:sz w:val="16"/>
          <w:szCs w:val="16"/>
        </w:rPr>
        <w:t xml:space="preserve">ИНСТРУКЦИЯ по медицинскому применению </w:t>
      </w:r>
    </w:p>
    <w:p w:rsidR="00217188" w:rsidRPr="00217188" w:rsidRDefault="00217188" w:rsidP="00385C01">
      <w:pPr>
        <w:spacing w:line="312" w:lineRule="auto"/>
        <w:jc w:val="center"/>
        <w:rPr>
          <w:caps/>
          <w:sz w:val="16"/>
          <w:szCs w:val="16"/>
        </w:rPr>
      </w:pPr>
      <w:r w:rsidRPr="00217188">
        <w:rPr>
          <w:caps/>
          <w:sz w:val="16"/>
          <w:szCs w:val="16"/>
        </w:rPr>
        <w:t xml:space="preserve">лекарственного препарата </w:t>
      </w:r>
    </w:p>
    <w:p w:rsidR="00217188" w:rsidRPr="00217188" w:rsidRDefault="00217188" w:rsidP="00385C01">
      <w:pPr>
        <w:spacing w:line="312" w:lineRule="auto"/>
        <w:jc w:val="center"/>
        <w:rPr>
          <w:caps/>
          <w:sz w:val="16"/>
          <w:szCs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217188" w:rsidRPr="00217188" w:rsidTr="002F6EF5">
        <w:tc>
          <w:tcPr>
            <w:tcW w:w="3827" w:type="dxa"/>
            <w:tcBorders>
              <w:bottom w:val="single" w:sz="4" w:space="0" w:color="auto"/>
            </w:tcBorders>
          </w:tcPr>
          <w:p w:rsidR="00217188" w:rsidRPr="00217188" w:rsidRDefault="00217188" w:rsidP="00385C01">
            <w:pPr>
              <w:spacing w:line="312" w:lineRule="auto"/>
              <w:jc w:val="center"/>
              <w:rPr>
                <w:b/>
                <w:caps/>
                <w:sz w:val="16"/>
                <w:szCs w:val="16"/>
              </w:rPr>
            </w:pPr>
            <w:r w:rsidRPr="00217188">
              <w:rPr>
                <w:b/>
                <w:sz w:val="16"/>
                <w:szCs w:val="16"/>
              </w:rPr>
              <w:t>ФАМОТИДИН</w:t>
            </w:r>
          </w:p>
        </w:tc>
      </w:tr>
      <w:tr w:rsidR="00217188" w:rsidRPr="00217188" w:rsidTr="002F6EF5">
        <w:tc>
          <w:tcPr>
            <w:tcW w:w="3827" w:type="dxa"/>
            <w:tcBorders>
              <w:top w:val="single" w:sz="4" w:space="0" w:color="auto"/>
            </w:tcBorders>
          </w:tcPr>
          <w:p w:rsidR="00217188" w:rsidRPr="00217188" w:rsidRDefault="00217188" w:rsidP="00385C01">
            <w:pPr>
              <w:spacing w:line="312" w:lineRule="auto"/>
              <w:jc w:val="center"/>
              <w:rPr>
                <w:caps/>
                <w:sz w:val="16"/>
                <w:szCs w:val="16"/>
              </w:rPr>
            </w:pPr>
            <w:r w:rsidRPr="00217188">
              <w:rPr>
                <w:sz w:val="16"/>
                <w:szCs w:val="16"/>
              </w:rPr>
              <w:t>наименование лекарственного препарата</w:t>
            </w:r>
          </w:p>
        </w:tc>
      </w:tr>
    </w:tbl>
    <w:p w:rsidR="00217188" w:rsidRPr="00217188" w:rsidRDefault="00217188" w:rsidP="00385C01">
      <w:pPr>
        <w:spacing w:line="312" w:lineRule="auto"/>
        <w:jc w:val="center"/>
        <w:rPr>
          <w:sz w:val="16"/>
          <w:szCs w:val="16"/>
        </w:rPr>
      </w:pPr>
    </w:p>
    <w:p w:rsidR="00217188" w:rsidRPr="00A27B0E" w:rsidRDefault="00217188" w:rsidP="00385C01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217188">
        <w:rPr>
          <w:b/>
          <w:sz w:val="16"/>
          <w:szCs w:val="16"/>
        </w:rPr>
        <w:t>Регистрационный номер:</w:t>
      </w:r>
      <w:r w:rsidR="00A27B0E">
        <w:rPr>
          <w:b/>
          <w:sz w:val="16"/>
          <w:szCs w:val="16"/>
          <w:lang w:val="en-US"/>
        </w:rPr>
        <w:t xml:space="preserve"> </w:t>
      </w:r>
      <w:r w:rsidR="00A27B0E">
        <w:rPr>
          <w:b/>
          <w:sz w:val="16"/>
          <w:szCs w:val="16"/>
        </w:rPr>
        <w:t>ЛП-004577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color w:val="000000"/>
          <w:sz w:val="16"/>
          <w:szCs w:val="16"/>
        </w:rPr>
      </w:pPr>
      <w:r w:rsidRPr="00217188">
        <w:rPr>
          <w:b/>
          <w:color w:val="000000"/>
          <w:sz w:val="16"/>
          <w:szCs w:val="16"/>
        </w:rPr>
        <w:t>Торговое наименование препарата:</w:t>
      </w:r>
      <w:r w:rsidRPr="00217188">
        <w:rPr>
          <w:color w:val="000000"/>
          <w:sz w:val="16"/>
          <w:szCs w:val="16"/>
        </w:rPr>
        <w:t xml:space="preserve"> Фамотидин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/>
          <w:color w:val="000000"/>
          <w:sz w:val="16"/>
          <w:szCs w:val="16"/>
        </w:rPr>
      </w:pPr>
      <w:r w:rsidRPr="00217188">
        <w:rPr>
          <w:b/>
          <w:color w:val="000000"/>
          <w:sz w:val="16"/>
          <w:szCs w:val="16"/>
        </w:rPr>
        <w:t>Международное непатентованное наименование:</w:t>
      </w:r>
      <w:r w:rsidRPr="00217188">
        <w:rPr>
          <w:color w:val="000000"/>
          <w:sz w:val="16"/>
          <w:szCs w:val="16"/>
        </w:rPr>
        <w:t xml:space="preserve"> Фамотидин</w:t>
      </w:r>
      <w:r w:rsidRPr="00217188">
        <w:rPr>
          <w:b/>
          <w:color w:val="000000"/>
          <w:sz w:val="16"/>
          <w:szCs w:val="16"/>
        </w:rPr>
        <w:t xml:space="preserve"> 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217188">
        <w:rPr>
          <w:b/>
          <w:color w:val="000000"/>
          <w:sz w:val="16"/>
          <w:szCs w:val="16"/>
        </w:rPr>
        <w:t>Лекарственная форма:</w:t>
      </w:r>
      <w:r w:rsidRPr="00217188">
        <w:rPr>
          <w:color w:val="000000"/>
          <w:sz w:val="16"/>
          <w:szCs w:val="16"/>
        </w:rPr>
        <w:t xml:space="preserve"> лиофилизат для приготовления раствора для внутривенного введения 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/>
          <w:color w:val="000000"/>
          <w:sz w:val="16"/>
          <w:szCs w:val="16"/>
        </w:rPr>
      </w:pPr>
      <w:r w:rsidRPr="00217188">
        <w:rPr>
          <w:b/>
          <w:color w:val="000000"/>
          <w:sz w:val="16"/>
          <w:szCs w:val="16"/>
        </w:rPr>
        <w:t>Состав на 1 флакон: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6"/>
        <w:gridCol w:w="1849"/>
      </w:tblGrid>
      <w:tr w:rsidR="00385C01" w:rsidRPr="00217188" w:rsidTr="00996AE2">
        <w:tc>
          <w:tcPr>
            <w:tcW w:w="4361" w:type="dxa"/>
            <w:shd w:val="clear" w:color="auto" w:fill="auto"/>
          </w:tcPr>
          <w:p w:rsidR="00217188" w:rsidRPr="00217188" w:rsidRDefault="00217188" w:rsidP="00385C01">
            <w:pPr>
              <w:shd w:val="clear" w:color="auto" w:fill="FFFFFF"/>
              <w:spacing w:line="312" w:lineRule="auto"/>
              <w:jc w:val="both"/>
              <w:rPr>
                <w:color w:val="000000"/>
                <w:sz w:val="16"/>
                <w:szCs w:val="16"/>
              </w:rPr>
            </w:pPr>
            <w:r w:rsidRPr="00217188">
              <w:rPr>
                <w:i/>
                <w:color w:val="000000"/>
                <w:sz w:val="16"/>
                <w:szCs w:val="16"/>
              </w:rPr>
              <w:t>Действующее вещество:</w:t>
            </w:r>
          </w:p>
        </w:tc>
        <w:tc>
          <w:tcPr>
            <w:tcW w:w="5209" w:type="dxa"/>
            <w:shd w:val="clear" w:color="auto" w:fill="auto"/>
          </w:tcPr>
          <w:p w:rsidR="00217188" w:rsidRPr="00217188" w:rsidRDefault="00217188" w:rsidP="00385C01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85C01" w:rsidRPr="00217188" w:rsidTr="00996AE2">
        <w:tc>
          <w:tcPr>
            <w:tcW w:w="4361" w:type="dxa"/>
            <w:shd w:val="clear" w:color="auto" w:fill="auto"/>
          </w:tcPr>
          <w:p w:rsidR="00217188" w:rsidRPr="00217188" w:rsidRDefault="00217188" w:rsidP="00385C01">
            <w:pPr>
              <w:spacing w:line="312" w:lineRule="auto"/>
              <w:rPr>
                <w:b/>
                <w:sz w:val="16"/>
                <w:szCs w:val="16"/>
              </w:rPr>
            </w:pPr>
            <w:r w:rsidRPr="00217188">
              <w:rPr>
                <w:color w:val="000000"/>
                <w:sz w:val="16"/>
                <w:szCs w:val="16"/>
              </w:rPr>
              <w:t>Фамотидин</w:t>
            </w:r>
          </w:p>
        </w:tc>
        <w:tc>
          <w:tcPr>
            <w:tcW w:w="5209" w:type="dxa"/>
            <w:shd w:val="clear" w:color="auto" w:fill="auto"/>
          </w:tcPr>
          <w:p w:rsidR="00217188" w:rsidRPr="00217188" w:rsidRDefault="00217188" w:rsidP="00385C01">
            <w:pPr>
              <w:spacing w:line="312" w:lineRule="auto"/>
              <w:jc w:val="both"/>
              <w:rPr>
                <w:sz w:val="16"/>
                <w:szCs w:val="16"/>
              </w:rPr>
            </w:pPr>
            <w:r w:rsidRPr="00217188">
              <w:rPr>
                <w:sz w:val="16"/>
                <w:szCs w:val="16"/>
              </w:rPr>
              <w:t>20,0 мг</w:t>
            </w:r>
          </w:p>
        </w:tc>
      </w:tr>
      <w:tr w:rsidR="00385C01" w:rsidRPr="00217188" w:rsidTr="00996AE2">
        <w:tc>
          <w:tcPr>
            <w:tcW w:w="4361" w:type="dxa"/>
            <w:shd w:val="clear" w:color="auto" w:fill="auto"/>
          </w:tcPr>
          <w:p w:rsidR="00217188" w:rsidRPr="00217188" w:rsidRDefault="00217188" w:rsidP="00385C01">
            <w:pPr>
              <w:shd w:val="clear" w:color="auto" w:fill="FFFFFF"/>
              <w:spacing w:line="312" w:lineRule="auto"/>
              <w:jc w:val="both"/>
              <w:rPr>
                <w:sz w:val="16"/>
                <w:szCs w:val="16"/>
              </w:rPr>
            </w:pPr>
            <w:r w:rsidRPr="00217188">
              <w:rPr>
                <w:i/>
                <w:sz w:val="16"/>
                <w:szCs w:val="16"/>
              </w:rPr>
              <w:t>Вспомогательные вещества:</w:t>
            </w:r>
          </w:p>
        </w:tc>
        <w:tc>
          <w:tcPr>
            <w:tcW w:w="5209" w:type="dxa"/>
            <w:shd w:val="clear" w:color="auto" w:fill="auto"/>
          </w:tcPr>
          <w:p w:rsidR="00217188" w:rsidRPr="00217188" w:rsidRDefault="00217188" w:rsidP="00385C01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85C01" w:rsidRPr="00217188" w:rsidTr="00996AE2">
        <w:tc>
          <w:tcPr>
            <w:tcW w:w="4361" w:type="dxa"/>
            <w:shd w:val="clear" w:color="auto" w:fill="auto"/>
          </w:tcPr>
          <w:p w:rsidR="00217188" w:rsidRPr="00217188" w:rsidRDefault="00217188" w:rsidP="00385C01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 w:rsidRPr="00217188">
              <w:rPr>
                <w:sz w:val="16"/>
                <w:szCs w:val="16"/>
              </w:rPr>
              <w:t>Аспарагиновая кислота</w:t>
            </w:r>
          </w:p>
        </w:tc>
        <w:tc>
          <w:tcPr>
            <w:tcW w:w="5209" w:type="dxa"/>
            <w:shd w:val="clear" w:color="auto" w:fill="auto"/>
          </w:tcPr>
          <w:p w:rsidR="00217188" w:rsidRPr="00217188" w:rsidRDefault="00217188" w:rsidP="00385C01">
            <w:pPr>
              <w:spacing w:line="312" w:lineRule="auto"/>
              <w:jc w:val="both"/>
              <w:rPr>
                <w:sz w:val="16"/>
                <w:szCs w:val="16"/>
              </w:rPr>
            </w:pPr>
            <w:r w:rsidRPr="00217188">
              <w:rPr>
                <w:sz w:val="16"/>
                <w:szCs w:val="16"/>
              </w:rPr>
              <w:t>8,8 мг</w:t>
            </w:r>
          </w:p>
        </w:tc>
      </w:tr>
      <w:tr w:rsidR="00385C01" w:rsidRPr="00217188" w:rsidTr="00996AE2">
        <w:tc>
          <w:tcPr>
            <w:tcW w:w="4361" w:type="dxa"/>
            <w:shd w:val="clear" w:color="auto" w:fill="auto"/>
          </w:tcPr>
          <w:p w:rsidR="00217188" w:rsidRPr="00217188" w:rsidRDefault="00217188" w:rsidP="00385C01">
            <w:pPr>
              <w:spacing w:line="312" w:lineRule="auto"/>
              <w:jc w:val="both"/>
              <w:rPr>
                <w:sz w:val="16"/>
                <w:szCs w:val="16"/>
              </w:rPr>
            </w:pPr>
            <w:r w:rsidRPr="00217188">
              <w:rPr>
                <w:sz w:val="16"/>
                <w:szCs w:val="16"/>
              </w:rPr>
              <w:t>Маннитол</w:t>
            </w:r>
          </w:p>
        </w:tc>
        <w:tc>
          <w:tcPr>
            <w:tcW w:w="5209" w:type="dxa"/>
            <w:shd w:val="clear" w:color="auto" w:fill="auto"/>
          </w:tcPr>
          <w:p w:rsidR="00217188" w:rsidRPr="00217188" w:rsidRDefault="00217188" w:rsidP="00385C01">
            <w:pPr>
              <w:spacing w:line="312" w:lineRule="auto"/>
              <w:jc w:val="both"/>
              <w:rPr>
                <w:sz w:val="16"/>
                <w:szCs w:val="16"/>
              </w:rPr>
            </w:pPr>
            <w:r w:rsidRPr="00217188">
              <w:rPr>
                <w:sz w:val="16"/>
                <w:szCs w:val="16"/>
              </w:rPr>
              <w:t>44,0 мг</w:t>
            </w:r>
          </w:p>
        </w:tc>
      </w:tr>
    </w:tbl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/>
          <w:sz w:val="16"/>
          <w:szCs w:val="16"/>
        </w:rPr>
      </w:pPr>
      <w:r w:rsidRPr="00217188">
        <w:rPr>
          <w:b/>
          <w:sz w:val="16"/>
          <w:szCs w:val="16"/>
        </w:rPr>
        <w:t>Описание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217188">
        <w:rPr>
          <w:sz w:val="16"/>
          <w:szCs w:val="16"/>
        </w:rPr>
        <w:t>Белый или белый с желтоватым оттенком цвета лиофилизированный порошок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217188">
        <w:rPr>
          <w:b/>
          <w:color w:val="000000"/>
          <w:sz w:val="16"/>
          <w:szCs w:val="16"/>
        </w:rPr>
        <w:t>Фармакотерапевтическая группа:</w:t>
      </w:r>
      <w:r w:rsidRPr="00217188">
        <w:rPr>
          <w:color w:val="000000"/>
          <w:sz w:val="16"/>
          <w:szCs w:val="16"/>
        </w:rPr>
        <w:t xml:space="preserve"> средство понижающее секрецию желез желудка – Н</w:t>
      </w:r>
      <w:r w:rsidRPr="00217188">
        <w:rPr>
          <w:color w:val="000000"/>
          <w:sz w:val="16"/>
          <w:szCs w:val="16"/>
          <w:vertAlign w:val="subscript"/>
        </w:rPr>
        <w:t>2</w:t>
      </w:r>
      <w:r w:rsidRPr="00217188">
        <w:rPr>
          <w:color w:val="000000"/>
          <w:sz w:val="16"/>
          <w:szCs w:val="16"/>
        </w:rPr>
        <w:t xml:space="preserve">-гистаминовых рецепторов блокатор 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color w:val="000000"/>
          <w:sz w:val="16"/>
          <w:szCs w:val="16"/>
        </w:rPr>
      </w:pPr>
      <w:r w:rsidRPr="00217188">
        <w:rPr>
          <w:b/>
          <w:color w:val="000000"/>
          <w:sz w:val="16"/>
          <w:szCs w:val="16"/>
        </w:rPr>
        <w:t>Код АТХ:</w:t>
      </w:r>
      <w:r w:rsidRPr="00217188">
        <w:rPr>
          <w:color w:val="000000"/>
          <w:sz w:val="16"/>
          <w:szCs w:val="16"/>
        </w:rPr>
        <w:t xml:space="preserve"> А02ВА03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/>
          <w:color w:val="000000"/>
          <w:sz w:val="16"/>
          <w:szCs w:val="16"/>
        </w:rPr>
      </w:pPr>
      <w:r w:rsidRPr="00217188">
        <w:rPr>
          <w:b/>
          <w:color w:val="000000"/>
          <w:sz w:val="16"/>
          <w:szCs w:val="16"/>
        </w:rPr>
        <w:t>Фармакологические свойства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/>
          <w:i/>
          <w:color w:val="000000"/>
          <w:sz w:val="16"/>
          <w:szCs w:val="16"/>
        </w:rPr>
      </w:pPr>
      <w:r w:rsidRPr="00217188">
        <w:rPr>
          <w:b/>
          <w:i/>
          <w:color w:val="000000"/>
          <w:sz w:val="16"/>
          <w:szCs w:val="16"/>
        </w:rPr>
        <w:t>Фармакодинамика</w:t>
      </w:r>
    </w:p>
    <w:p w:rsidR="00217188" w:rsidRPr="00217188" w:rsidRDefault="00217188" w:rsidP="00385C01">
      <w:pPr>
        <w:pStyle w:val="opispole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17188">
        <w:rPr>
          <w:rFonts w:ascii="Arial" w:hAnsi="Arial" w:cs="Arial"/>
          <w:color w:val="000000"/>
          <w:sz w:val="16"/>
          <w:szCs w:val="16"/>
        </w:rPr>
        <w:t>Фамотидин является мощным конкурентным ингибитором Н</w:t>
      </w:r>
      <w:r w:rsidRPr="00217188"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 w:rsidRPr="00217188">
        <w:rPr>
          <w:rFonts w:ascii="Arial" w:hAnsi="Arial" w:cs="Arial"/>
          <w:color w:val="000000"/>
          <w:sz w:val="16"/>
          <w:szCs w:val="16"/>
        </w:rPr>
        <w:t>-гистаминовых рецепторов.</w:t>
      </w:r>
    </w:p>
    <w:p w:rsidR="00217188" w:rsidRPr="00217188" w:rsidRDefault="00217188" w:rsidP="00385C01">
      <w:pPr>
        <w:pStyle w:val="opispole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17188">
        <w:rPr>
          <w:rFonts w:ascii="Arial" w:hAnsi="Arial" w:cs="Arial"/>
          <w:color w:val="000000"/>
          <w:sz w:val="16"/>
          <w:szCs w:val="16"/>
        </w:rPr>
        <w:t>Основным клинически значимым фармакологическим действием фамотидина является ингибирование желудочной секреции. Фамотидин снижает как концентрацию соляной кислоты, так и объем желудочной секреции, в то время как изменения секреции пепсина пропорциональны секретируемому объему желудочного сока.</w:t>
      </w:r>
    </w:p>
    <w:p w:rsidR="00217188" w:rsidRPr="00217188" w:rsidRDefault="00217188" w:rsidP="00385C01">
      <w:pPr>
        <w:pStyle w:val="opispole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17188">
        <w:rPr>
          <w:rFonts w:ascii="Arial" w:hAnsi="Arial" w:cs="Arial"/>
          <w:color w:val="000000"/>
          <w:sz w:val="16"/>
          <w:szCs w:val="16"/>
        </w:rPr>
        <w:t xml:space="preserve">У здоровых добровольцев и пациентов с гиперсекрецией желудочного сока фамотидин </w:t>
      </w:r>
      <w:r w:rsidRPr="00217188">
        <w:rPr>
          <w:rFonts w:ascii="Arial" w:hAnsi="Arial" w:cs="Arial"/>
          <w:color w:val="000000"/>
          <w:sz w:val="16"/>
          <w:szCs w:val="16"/>
        </w:rPr>
        <w:t>ингибирует базальную и ночную секрецию соляной кислоты, а также секрецию, стимулируемую приемом пищи, введением пентагастрина, кофеина, инсулина и раздражением блуждающего нерва.</w:t>
      </w:r>
    </w:p>
    <w:p w:rsidR="00217188" w:rsidRPr="00217188" w:rsidRDefault="00217188" w:rsidP="00385C01">
      <w:pPr>
        <w:pStyle w:val="opispole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17188">
        <w:rPr>
          <w:rFonts w:ascii="Arial" w:hAnsi="Arial" w:cs="Arial"/>
          <w:color w:val="000000"/>
          <w:sz w:val="16"/>
          <w:szCs w:val="16"/>
        </w:rPr>
        <w:t xml:space="preserve">Действие фамотидина после внутривенного введения в дозе 10-20 мг достигает максимума через 1-3 часа (после перорального приема 20-40 мг фамотидина </w:t>
      </w:r>
      <w:r w:rsidR="004C5485" w:rsidRPr="00217188">
        <w:rPr>
          <w:bCs/>
          <w:sz w:val="16"/>
          <w:szCs w:val="16"/>
        </w:rPr>
        <w:t>–</w:t>
      </w:r>
      <w:r w:rsidRPr="00217188">
        <w:rPr>
          <w:rFonts w:ascii="Arial" w:hAnsi="Arial" w:cs="Arial"/>
          <w:color w:val="000000"/>
          <w:sz w:val="16"/>
          <w:szCs w:val="16"/>
        </w:rPr>
        <w:t xml:space="preserve"> через 10-12 часов), длительность действия фамотидина как после внутривенного, так и после перорального приема составляет 10-12 часов, выраженность и длительность подавления желудочной секреции носят дозозависимый характер. При повторном введении кумуляции не наблюдается.</w:t>
      </w:r>
    </w:p>
    <w:p w:rsidR="00217188" w:rsidRPr="00217188" w:rsidRDefault="00217188" w:rsidP="00385C01">
      <w:pPr>
        <w:pStyle w:val="opispole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17188">
        <w:rPr>
          <w:rFonts w:ascii="Arial" w:hAnsi="Arial" w:cs="Arial"/>
          <w:color w:val="000000"/>
          <w:sz w:val="16"/>
          <w:szCs w:val="16"/>
        </w:rPr>
        <w:t>Фамотидин практически не оказывает влияния на концентрацию гастрина в сыворотке крови натощак и после приема пищи.</w:t>
      </w:r>
    </w:p>
    <w:p w:rsidR="00217188" w:rsidRPr="00217188" w:rsidRDefault="00217188" w:rsidP="00385C01">
      <w:pPr>
        <w:pStyle w:val="opispole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17188">
        <w:rPr>
          <w:rFonts w:ascii="Arial" w:hAnsi="Arial" w:cs="Arial"/>
          <w:color w:val="000000"/>
          <w:sz w:val="16"/>
          <w:szCs w:val="16"/>
        </w:rPr>
        <w:t>Фамотидин не влияет на скорость опорожнени</w:t>
      </w:r>
      <w:r w:rsidR="006075D7">
        <w:rPr>
          <w:rFonts w:ascii="Arial" w:hAnsi="Arial" w:cs="Arial"/>
          <w:color w:val="000000"/>
          <w:sz w:val="16"/>
          <w:szCs w:val="16"/>
        </w:rPr>
        <w:t>я</w:t>
      </w:r>
      <w:bookmarkStart w:id="0" w:name="_GoBack"/>
      <w:bookmarkEnd w:id="0"/>
      <w:r w:rsidRPr="00217188">
        <w:rPr>
          <w:rFonts w:ascii="Arial" w:hAnsi="Arial" w:cs="Arial"/>
          <w:color w:val="000000"/>
          <w:sz w:val="16"/>
          <w:szCs w:val="16"/>
        </w:rPr>
        <w:t xml:space="preserve"> желудка, экзокринную функцию поджелудочной железы, кровоток в печени и портальной системе. Не отмечено действия на нервную, сердечно-сосудистую, дыхательную и эндокринную системы. Антиандрогенного влияния препарата, а также воздействия на уровень пролактина, кортизола, тироксина (Т</w:t>
      </w:r>
      <w:r w:rsidRPr="00217188"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 w:rsidRPr="00217188">
        <w:rPr>
          <w:rFonts w:ascii="Arial" w:hAnsi="Arial" w:cs="Arial"/>
          <w:color w:val="000000"/>
          <w:sz w:val="16"/>
          <w:szCs w:val="16"/>
        </w:rPr>
        <w:t>) и тестостерона отмечено не было. Фамотидин не оказывает влияния на ферментную систему цитохрома Р450 в печени.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/>
          <w:i/>
          <w:color w:val="000000"/>
          <w:sz w:val="16"/>
          <w:szCs w:val="16"/>
        </w:rPr>
      </w:pPr>
      <w:r w:rsidRPr="00217188">
        <w:rPr>
          <w:b/>
          <w:i/>
          <w:color w:val="000000"/>
          <w:sz w:val="16"/>
          <w:szCs w:val="16"/>
        </w:rPr>
        <w:t>Фармакокинетика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color w:val="000000"/>
          <w:sz w:val="16"/>
          <w:szCs w:val="16"/>
        </w:rPr>
      </w:pPr>
      <w:r w:rsidRPr="00217188">
        <w:rPr>
          <w:color w:val="000000"/>
          <w:sz w:val="16"/>
          <w:szCs w:val="16"/>
        </w:rPr>
        <w:t xml:space="preserve">Кинетика фамотидина носит линейный характер. 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color w:val="000000"/>
          <w:sz w:val="16"/>
          <w:szCs w:val="16"/>
        </w:rPr>
      </w:pPr>
      <w:r w:rsidRPr="00217188">
        <w:rPr>
          <w:i/>
          <w:color w:val="000000"/>
          <w:sz w:val="16"/>
          <w:szCs w:val="16"/>
        </w:rPr>
        <w:t xml:space="preserve">Всасывание. </w:t>
      </w:r>
      <w:r w:rsidRPr="00217188">
        <w:rPr>
          <w:color w:val="000000"/>
          <w:sz w:val="16"/>
          <w:szCs w:val="16"/>
        </w:rPr>
        <w:t>Препарат предназначен только для внутривенного введения.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i/>
          <w:color w:val="000000"/>
          <w:sz w:val="16"/>
          <w:szCs w:val="16"/>
        </w:rPr>
      </w:pPr>
      <w:r w:rsidRPr="00217188">
        <w:rPr>
          <w:i/>
          <w:color w:val="000000"/>
          <w:sz w:val="16"/>
          <w:szCs w:val="16"/>
        </w:rPr>
        <w:t>Распределение.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color w:val="000000"/>
          <w:sz w:val="16"/>
          <w:szCs w:val="16"/>
        </w:rPr>
      </w:pPr>
      <w:r w:rsidRPr="00217188">
        <w:rPr>
          <w:color w:val="000000"/>
          <w:sz w:val="16"/>
          <w:szCs w:val="16"/>
        </w:rPr>
        <w:t xml:space="preserve">Связь с белками плазмы </w:t>
      </w:r>
      <w:r w:rsidR="004C5485" w:rsidRPr="00217188">
        <w:rPr>
          <w:bCs/>
          <w:sz w:val="16"/>
          <w:szCs w:val="16"/>
        </w:rPr>
        <w:t>–</w:t>
      </w:r>
      <w:r w:rsidRPr="00217188">
        <w:rPr>
          <w:color w:val="000000"/>
          <w:sz w:val="16"/>
          <w:szCs w:val="16"/>
        </w:rPr>
        <w:t xml:space="preserve"> относительно слабая (15-20 %).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color w:val="000000"/>
          <w:sz w:val="16"/>
          <w:szCs w:val="16"/>
        </w:rPr>
      </w:pPr>
      <w:r w:rsidRPr="00217188">
        <w:rPr>
          <w:color w:val="000000"/>
          <w:sz w:val="16"/>
          <w:szCs w:val="16"/>
        </w:rPr>
        <w:t>Период полувыведения (Т</w:t>
      </w:r>
      <w:r w:rsidRPr="00217188">
        <w:rPr>
          <w:color w:val="000000"/>
          <w:sz w:val="16"/>
          <w:szCs w:val="16"/>
          <w:vertAlign w:val="subscript"/>
        </w:rPr>
        <w:t>½</w:t>
      </w:r>
      <w:r w:rsidRPr="00217188">
        <w:rPr>
          <w:color w:val="000000"/>
          <w:sz w:val="16"/>
          <w:szCs w:val="16"/>
        </w:rPr>
        <w:t>) составляет 2,5-3,5 часа. У пациентов с тяжелой почечной недостаточностью Т</w:t>
      </w:r>
      <w:r w:rsidRPr="00217188">
        <w:rPr>
          <w:color w:val="000000"/>
          <w:sz w:val="16"/>
          <w:szCs w:val="16"/>
          <w:vertAlign w:val="subscript"/>
        </w:rPr>
        <w:t>½</w:t>
      </w:r>
      <w:r w:rsidRPr="00217188">
        <w:rPr>
          <w:color w:val="000000"/>
          <w:sz w:val="16"/>
          <w:szCs w:val="16"/>
        </w:rPr>
        <w:t xml:space="preserve"> фамотидина может превышать 20 часов (у больных с анурией –</w:t>
      </w:r>
      <w:r w:rsidR="008969FD">
        <w:rPr>
          <w:color w:val="000000"/>
          <w:sz w:val="16"/>
          <w:szCs w:val="16"/>
        </w:rPr>
        <w:t xml:space="preserve"> </w:t>
      </w:r>
      <w:r w:rsidRPr="00217188">
        <w:rPr>
          <w:color w:val="000000"/>
          <w:sz w:val="16"/>
          <w:szCs w:val="16"/>
        </w:rPr>
        <w:t>24 часа), что требует соответствующей коррекции режима дозирования (см.ниже).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color w:val="000000"/>
          <w:sz w:val="16"/>
          <w:szCs w:val="16"/>
        </w:rPr>
      </w:pPr>
      <w:r w:rsidRPr="00217188">
        <w:rPr>
          <w:color w:val="000000"/>
          <w:sz w:val="16"/>
          <w:szCs w:val="16"/>
        </w:rPr>
        <w:t>У пожилых пациентов с нормальной скоростью клубочковой фильтрации Т</w:t>
      </w:r>
      <w:r w:rsidRPr="00217188">
        <w:rPr>
          <w:color w:val="000000"/>
          <w:sz w:val="16"/>
          <w:szCs w:val="16"/>
          <w:vertAlign w:val="subscript"/>
        </w:rPr>
        <w:t xml:space="preserve">½ </w:t>
      </w:r>
      <w:r w:rsidRPr="00217188">
        <w:rPr>
          <w:color w:val="000000"/>
          <w:sz w:val="16"/>
          <w:szCs w:val="16"/>
        </w:rPr>
        <w:t>не увеличивается.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i/>
          <w:color w:val="000000"/>
          <w:sz w:val="16"/>
          <w:szCs w:val="16"/>
        </w:rPr>
      </w:pPr>
      <w:r w:rsidRPr="00217188">
        <w:rPr>
          <w:i/>
          <w:color w:val="000000"/>
          <w:sz w:val="16"/>
          <w:szCs w:val="16"/>
        </w:rPr>
        <w:t>Метаболизм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color w:val="000000"/>
          <w:sz w:val="16"/>
          <w:szCs w:val="16"/>
        </w:rPr>
      </w:pPr>
      <w:r w:rsidRPr="00217188">
        <w:rPr>
          <w:color w:val="000000"/>
          <w:sz w:val="16"/>
          <w:szCs w:val="16"/>
        </w:rPr>
        <w:t>Метаболизм фамотидина происходит в печени. Единственным метаболитом, обнаруженным у человека, является сульфоксид.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i/>
          <w:color w:val="000000"/>
          <w:sz w:val="16"/>
          <w:szCs w:val="16"/>
        </w:rPr>
      </w:pPr>
      <w:r w:rsidRPr="00217188">
        <w:rPr>
          <w:i/>
          <w:color w:val="000000"/>
          <w:sz w:val="16"/>
          <w:szCs w:val="16"/>
        </w:rPr>
        <w:t>Выведение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/>
          <w:color w:val="000000"/>
          <w:sz w:val="16"/>
          <w:szCs w:val="16"/>
        </w:rPr>
      </w:pPr>
      <w:r w:rsidRPr="00217188">
        <w:rPr>
          <w:color w:val="000000"/>
          <w:sz w:val="16"/>
          <w:szCs w:val="16"/>
        </w:rPr>
        <w:t>Фамотидин на 65-70 % выводится почками в неизменном виде (небольшая часть</w:t>
      </w:r>
      <w:r w:rsidR="005C54B1">
        <w:rPr>
          <w:color w:val="000000"/>
          <w:sz w:val="16"/>
          <w:szCs w:val="16"/>
        </w:rPr>
        <w:t xml:space="preserve"> </w:t>
      </w:r>
      <w:r w:rsidR="004C5485" w:rsidRPr="00217188">
        <w:rPr>
          <w:bCs/>
          <w:sz w:val="16"/>
          <w:szCs w:val="16"/>
        </w:rPr>
        <w:t>–</w:t>
      </w:r>
      <w:r w:rsidRPr="00217188">
        <w:rPr>
          <w:color w:val="000000"/>
          <w:sz w:val="16"/>
          <w:szCs w:val="16"/>
        </w:rPr>
        <w:t xml:space="preserve"> в форме сульфоксида), метаболизируется 30-35 % препарата. Почечный клиренс составляет 250-450 мл/мин, что указывает на наличие канальцевой секреции.</w:t>
      </w:r>
    </w:p>
    <w:p w:rsidR="00217188" w:rsidRPr="00217188" w:rsidRDefault="00217188" w:rsidP="00385C01">
      <w:pPr>
        <w:pStyle w:val="opispole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17188">
        <w:rPr>
          <w:rFonts w:ascii="Arial" w:hAnsi="Arial" w:cs="Arial"/>
          <w:b/>
          <w:color w:val="000000"/>
          <w:sz w:val="16"/>
          <w:szCs w:val="16"/>
        </w:rPr>
        <w:t>Показания к применению</w:t>
      </w:r>
    </w:p>
    <w:p w:rsidR="00217188" w:rsidRPr="00217188" w:rsidRDefault="00217188" w:rsidP="00385C01">
      <w:pPr>
        <w:pStyle w:val="opispole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17188">
        <w:rPr>
          <w:rFonts w:ascii="Arial" w:hAnsi="Arial" w:cs="Arial"/>
          <w:color w:val="000000"/>
          <w:sz w:val="16"/>
          <w:szCs w:val="16"/>
        </w:rPr>
        <w:t>Фамотидин рекомендован для назначения стационарным больным, которые не имеют возможности принимать препарат внутрь. Парентеральное введение фамотидина может использоваться до тех пор, пока проведение пероральной терапии не станет возможным.</w:t>
      </w:r>
    </w:p>
    <w:p w:rsidR="00217188" w:rsidRPr="00217188" w:rsidRDefault="00217188" w:rsidP="00385C01">
      <w:pPr>
        <w:numPr>
          <w:ilvl w:val="0"/>
          <w:numId w:val="10"/>
        </w:numPr>
        <w:shd w:val="clear" w:color="auto" w:fill="FFFFFF"/>
        <w:spacing w:line="312" w:lineRule="auto"/>
        <w:ind w:left="426"/>
        <w:jc w:val="both"/>
        <w:rPr>
          <w:color w:val="000000"/>
          <w:sz w:val="16"/>
          <w:szCs w:val="16"/>
        </w:rPr>
      </w:pPr>
      <w:r w:rsidRPr="00217188">
        <w:rPr>
          <w:color w:val="000000"/>
          <w:sz w:val="16"/>
          <w:szCs w:val="16"/>
        </w:rPr>
        <w:t>язвенная болезнь двенадцатиперстной кишки;</w:t>
      </w:r>
    </w:p>
    <w:p w:rsidR="00217188" w:rsidRPr="00217188" w:rsidRDefault="00217188" w:rsidP="00385C01">
      <w:pPr>
        <w:numPr>
          <w:ilvl w:val="0"/>
          <w:numId w:val="10"/>
        </w:numPr>
        <w:shd w:val="clear" w:color="auto" w:fill="FFFFFF"/>
        <w:spacing w:line="312" w:lineRule="auto"/>
        <w:ind w:left="426"/>
        <w:jc w:val="both"/>
        <w:rPr>
          <w:color w:val="000000"/>
          <w:sz w:val="16"/>
          <w:szCs w:val="16"/>
        </w:rPr>
      </w:pPr>
      <w:r w:rsidRPr="00217188">
        <w:rPr>
          <w:color w:val="000000"/>
          <w:sz w:val="16"/>
          <w:szCs w:val="16"/>
        </w:rPr>
        <w:t>язва желудка без малигнизации (хороший клинический эффект в ответ на назначение фамотидина не позволяет исключить наличие малигнизации язвы);</w:t>
      </w:r>
    </w:p>
    <w:p w:rsidR="00217188" w:rsidRPr="00217188" w:rsidRDefault="00217188" w:rsidP="00385C01">
      <w:pPr>
        <w:numPr>
          <w:ilvl w:val="0"/>
          <w:numId w:val="10"/>
        </w:numPr>
        <w:shd w:val="clear" w:color="auto" w:fill="FFFFFF"/>
        <w:spacing w:line="312" w:lineRule="auto"/>
        <w:ind w:left="426"/>
        <w:jc w:val="both"/>
        <w:rPr>
          <w:color w:val="000000"/>
          <w:sz w:val="16"/>
          <w:szCs w:val="16"/>
        </w:rPr>
      </w:pPr>
      <w:r w:rsidRPr="00217188">
        <w:rPr>
          <w:color w:val="000000"/>
          <w:sz w:val="16"/>
          <w:szCs w:val="16"/>
        </w:rPr>
        <w:t>гастроэзофагеальная рефлюксная болезнь;</w:t>
      </w:r>
    </w:p>
    <w:p w:rsidR="00217188" w:rsidRPr="00217188" w:rsidRDefault="00217188" w:rsidP="00385C01">
      <w:pPr>
        <w:numPr>
          <w:ilvl w:val="0"/>
          <w:numId w:val="10"/>
        </w:numPr>
        <w:shd w:val="clear" w:color="auto" w:fill="FFFFFF"/>
        <w:spacing w:line="312" w:lineRule="auto"/>
        <w:ind w:left="426"/>
        <w:jc w:val="both"/>
        <w:rPr>
          <w:color w:val="000000"/>
          <w:sz w:val="16"/>
          <w:szCs w:val="16"/>
        </w:rPr>
      </w:pPr>
      <w:r w:rsidRPr="00217188">
        <w:rPr>
          <w:color w:val="000000"/>
          <w:sz w:val="16"/>
          <w:szCs w:val="16"/>
        </w:rPr>
        <w:t>другие</w:t>
      </w:r>
      <w:r w:rsidR="005C54B1">
        <w:rPr>
          <w:color w:val="000000"/>
          <w:sz w:val="16"/>
          <w:szCs w:val="16"/>
        </w:rPr>
        <w:t xml:space="preserve"> </w:t>
      </w:r>
      <w:r w:rsidRPr="00217188">
        <w:rPr>
          <w:color w:val="000000"/>
          <w:sz w:val="16"/>
          <w:szCs w:val="16"/>
        </w:rPr>
        <w:t>состояния, сопровождающиеся гиперсекрецией желудочного сока (например, синдром Золлингера-Эллисона);</w:t>
      </w:r>
    </w:p>
    <w:p w:rsidR="00217188" w:rsidRPr="00217188" w:rsidRDefault="00217188" w:rsidP="00385C01">
      <w:pPr>
        <w:numPr>
          <w:ilvl w:val="0"/>
          <w:numId w:val="10"/>
        </w:numPr>
        <w:shd w:val="clear" w:color="auto" w:fill="FFFFFF"/>
        <w:spacing w:line="312" w:lineRule="auto"/>
        <w:ind w:left="426"/>
        <w:jc w:val="both"/>
        <w:rPr>
          <w:color w:val="000000"/>
          <w:sz w:val="16"/>
          <w:szCs w:val="16"/>
        </w:rPr>
      </w:pPr>
      <w:r w:rsidRPr="00217188">
        <w:rPr>
          <w:color w:val="000000"/>
          <w:sz w:val="16"/>
          <w:szCs w:val="16"/>
        </w:rPr>
        <w:t>профилактика синдрома Мендельсона (аспирации кислого желудочного содержимого) при проведении общей анестезии.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217188">
        <w:rPr>
          <w:b/>
          <w:bCs/>
          <w:color w:val="000000"/>
          <w:sz w:val="16"/>
          <w:szCs w:val="16"/>
        </w:rPr>
        <w:t>Противопоказания</w:t>
      </w:r>
    </w:p>
    <w:p w:rsidR="00217188" w:rsidRPr="00217188" w:rsidRDefault="00217188" w:rsidP="00385C01">
      <w:pPr>
        <w:numPr>
          <w:ilvl w:val="0"/>
          <w:numId w:val="10"/>
        </w:numPr>
        <w:shd w:val="clear" w:color="auto" w:fill="FFFFFF"/>
        <w:spacing w:line="312" w:lineRule="auto"/>
        <w:ind w:left="426"/>
        <w:jc w:val="both"/>
        <w:rPr>
          <w:color w:val="000000"/>
          <w:sz w:val="16"/>
          <w:szCs w:val="16"/>
        </w:rPr>
      </w:pPr>
      <w:r w:rsidRPr="00217188">
        <w:rPr>
          <w:color w:val="000000"/>
          <w:sz w:val="16"/>
          <w:szCs w:val="16"/>
        </w:rPr>
        <w:t>повышенная чувствительность к фамотидину или другим компонентам препарата;</w:t>
      </w:r>
    </w:p>
    <w:p w:rsidR="00217188" w:rsidRPr="00217188" w:rsidRDefault="00217188" w:rsidP="00385C01">
      <w:pPr>
        <w:numPr>
          <w:ilvl w:val="0"/>
          <w:numId w:val="10"/>
        </w:numPr>
        <w:shd w:val="clear" w:color="auto" w:fill="FFFFFF"/>
        <w:spacing w:line="312" w:lineRule="auto"/>
        <w:ind w:left="426"/>
        <w:jc w:val="both"/>
        <w:rPr>
          <w:color w:val="000000"/>
          <w:sz w:val="16"/>
          <w:szCs w:val="16"/>
        </w:rPr>
      </w:pPr>
      <w:r w:rsidRPr="00217188">
        <w:rPr>
          <w:color w:val="000000"/>
          <w:sz w:val="16"/>
          <w:szCs w:val="16"/>
        </w:rPr>
        <w:t>беременность и период грудного вскармливания;</w:t>
      </w:r>
    </w:p>
    <w:p w:rsidR="00217188" w:rsidRPr="00217188" w:rsidRDefault="00217188" w:rsidP="00385C01">
      <w:pPr>
        <w:numPr>
          <w:ilvl w:val="0"/>
          <w:numId w:val="10"/>
        </w:numPr>
        <w:shd w:val="clear" w:color="auto" w:fill="FFFFFF"/>
        <w:spacing w:line="312" w:lineRule="auto"/>
        <w:ind w:left="426"/>
        <w:jc w:val="both"/>
        <w:rPr>
          <w:color w:val="000000"/>
          <w:sz w:val="16"/>
          <w:szCs w:val="16"/>
        </w:rPr>
      </w:pPr>
      <w:r w:rsidRPr="00217188">
        <w:rPr>
          <w:color w:val="000000"/>
          <w:sz w:val="16"/>
          <w:szCs w:val="16"/>
        </w:rPr>
        <w:t>возраст до 18 лет.</w:t>
      </w:r>
    </w:p>
    <w:p w:rsidR="00A90661" w:rsidRDefault="00217188" w:rsidP="00385C01">
      <w:pPr>
        <w:shd w:val="clear" w:color="auto" w:fill="FFFFFF"/>
        <w:spacing w:line="312" w:lineRule="auto"/>
        <w:jc w:val="both"/>
        <w:rPr>
          <w:b/>
          <w:color w:val="000000"/>
          <w:sz w:val="16"/>
          <w:szCs w:val="16"/>
        </w:rPr>
      </w:pPr>
      <w:r w:rsidRPr="00217188">
        <w:rPr>
          <w:b/>
          <w:color w:val="000000"/>
          <w:sz w:val="16"/>
          <w:szCs w:val="16"/>
        </w:rPr>
        <w:t>С осторожностью</w:t>
      </w:r>
    </w:p>
    <w:p w:rsidR="00217188" w:rsidRPr="00A90661" w:rsidRDefault="00217188" w:rsidP="00385C01">
      <w:pPr>
        <w:shd w:val="clear" w:color="auto" w:fill="FFFFFF"/>
        <w:spacing w:line="312" w:lineRule="auto"/>
        <w:jc w:val="both"/>
        <w:rPr>
          <w:b/>
          <w:color w:val="000000"/>
          <w:sz w:val="16"/>
          <w:szCs w:val="16"/>
        </w:rPr>
      </w:pPr>
      <w:r w:rsidRPr="00217188">
        <w:rPr>
          <w:color w:val="000000"/>
          <w:sz w:val="16"/>
          <w:szCs w:val="16"/>
        </w:rPr>
        <w:t xml:space="preserve">Печеночная и/или почечная недостаточность, цирроз печени с энцефалопатией (в анамнезе), иммунодефицитные состояния. 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color w:val="000000"/>
          <w:sz w:val="16"/>
          <w:szCs w:val="16"/>
        </w:rPr>
      </w:pPr>
      <w:r w:rsidRPr="00217188">
        <w:rPr>
          <w:color w:val="000000"/>
          <w:sz w:val="16"/>
          <w:szCs w:val="16"/>
        </w:rPr>
        <w:t>Аллергия в анамнезе на другие Н</w:t>
      </w:r>
      <w:r w:rsidRPr="00217188">
        <w:rPr>
          <w:color w:val="000000"/>
          <w:sz w:val="16"/>
          <w:szCs w:val="16"/>
          <w:vertAlign w:val="subscript"/>
        </w:rPr>
        <w:t>2</w:t>
      </w:r>
      <w:r w:rsidRPr="00217188">
        <w:rPr>
          <w:color w:val="000000"/>
          <w:sz w:val="16"/>
          <w:szCs w:val="16"/>
        </w:rPr>
        <w:t>-гистаминоблокатор</w:t>
      </w:r>
      <w:r w:rsidR="004C5485">
        <w:rPr>
          <w:color w:val="000000"/>
          <w:sz w:val="16"/>
          <w:szCs w:val="16"/>
        </w:rPr>
        <w:t xml:space="preserve">ы </w:t>
      </w:r>
      <w:r w:rsidRPr="00217188">
        <w:rPr>
          <w:color w:val="000000"/>
          <w:sz w:val="16"/>
          <w:szCs w:val="16"/>
        </w:rPr>
        <w:t>(возможно наличие перекрестной гиперчувствительности).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/>
          <w:bCs/>
          <w:sz w:val="16"/>
          <w:szCs w:val="16"/>
        </w:rPr>
      </w:pPr>
      <w:r w:rsidRPr="00217188">
        <w:rPr>
          <w:b/>
          <w:bCs/>
          <w:sz w:val="16"/>
          <w:szCs w:val="16"/>
        </w:rPr>
        <w:t>Применение во время беременности и в период грудного вскармливания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sz w:val="16"/>
          <w:szCs w:val="16"/>
        </w:rPr>
      </w:pPr>
      <w:r w:rsidRPr="00217188">
        <w:rPr>
          <w:bCs/>
          <w:sz w:val="16"/>
          <w:szCs w:val="16"/>
        </w:rPr>
        <w:t>Фамотидин проникает через плаценту. Контролируемых исследований по изучению его безопасности при назначении беременным женщинам не проводилось. Не рекомендован для использования во время беременности.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sz w:val="16"/>
          <w:szCs w:val="16"/>
        </w:rPr>
      </w:pPr>
      <w:r w:rsidRPr="00217188">
        <w:rPr>
          <w:bCs/>
          <w:sz w:val="16"/>
          <w:szCs w:val="16"/>
        </w:rPr>
        <w:t>Фамотидин секретируется с грудным молоком женщин, в связи с этим грудное вскармливание во время применения препарата следует прекратить.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217188">
        <w:rPr>
          <w:b/>
          <w:bCs/>
          <w:color w:val="000000"/>
          <w:sz w:val="16"/>
          <w:szCs w:val="16"/>
        </w:rPr>
        <w:t xml:space="preserve">Способ применения и </w:t>
      </w:r>
      <w:r w:rsidRPr="00217188">
        <w:rPr>
          <w:b/>
          <w:color w:val="000000"/>
          <w:sz w:val="16"/>
          <w:szCs w:val="16"/>
        </w:rPr>
        <w:t>дозы</w:t>
      </w:r>
    </w:p>
    <w:p w:rsidR="00217188" w:rsidRPr="00217188" w:rsidRDefault="00217188" w:rsidP="00385C01">
      <w:pPr>
        <w:pStyle w:val="opispole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i/>
          <w:color w:val="000000"/>
          <w:sz w:val="16"/>
          <w:szCs w:val="16"/>
          <w:u w:val="single"/>
        </w:rPr>
      </w:pPr>
      <w:r w:rsidRPr="00217188">
        <w:rPr>
          <w:rFonts w:ascii="Arial" w:hAnsi="Arial" w:cs="Arial"/>
          <w:i/>
          <w:color w:val="000000"/>
          <w:sz w:val="16"/>
          <w:szCs w:val="16"/>
          <w:u w:val="single"/>
        </w:rPr>
        <w:t>Препарат предназначен только для внутривенного введения!</w:t>
      </w:r>
    </w:p>
    <w:p w:rsidR="004C5485" w:rsidRDefault="00217188" w:rsidP="00385C01">
      <w:pPr>
        <w:pStyle w:val="opispole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17188">
        <w:rPr>
          <w:rFonts w:ascii="Arial" w:hAnsi="Arial" w:cs="Arial"/>
          <w:color w:val="000000"/>
          <w:sz w:val="16"/>
          <w:szCs w:val="16"/>
        </w:rPr>
        <w:t xml:space="preserve">Начальная доза для внутривенного введения не должна </w:t>
      </w:r>
      <w:r w:rsidR="004C5485">
        <w:rPr>
          <w:rFonts w:ascii="Arial" w:hAnsi="Arial" w:cs="Arial"/>
          <w:color w:val="000000"/>
          <w:sz w:val="16"/>
          <w:szCs w:val="16"/>
        </w:rPr>
        <w:t xml:space="preserve">  </w:t>
      </w:r>
      <w:r w:rsidRPr="00217188">
        <w:rPr>
          <w:rFonts w:ascii="Arial" w:hAnsi="Arial" w:cs="Arial"/>
          <w:color w:val="000000"/>
          <w:sz w:val="16"/>
          <w:szCs w:val="16"/>
        </w:rPr>
        <w:t xml:space="preserve">превышать </w:t>
      </w:r>
      <w:r w:rsidR="004C5485">
        <w:rPr>
          <w:rFonts w:ascii="Arial" w:hAnsi="Arial" w:cs="Arial"/>
          <w:color w:val="000000"/>
          <w:sz w:val="16"/>
          <w:szCs w:val="16"/>
        </w:rPr>
        <w:t xml:space="preserve">  </w:t>
      </w:r>
      <w:r w:rsidRPr="00217188">
        <w:rPr>
          <w:rFonts w:ascii="Arial" w:hAnsi="Arial" w:cs="Arial"/>
          <w:color w:val="000000"/>
          <w:sz w:val="16"/>
          <w:szCs w:val="16"/>
        </w:rPr>
        <w:t xml:space="preserve">20 </w:t>
      </w:r>
      <w:r w:rsidR="004C5485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7188">
        <w:rPr>
          <w:rFonts w:ascii="Arial" w:hAnsi="Arial" w:cs="Arial"/>
          <w:color w:val="000000"/>
          <w:sz w:val="16"/>
          <w:szCs w:val="16"/>
        </w:rPr>
        <w:t xml:space="preserve">мг </w:t>
      </w:r>
      <w:r w:rsidR="004C5485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7188">
        <w:rPr>
          <w:rFonts w:ascii="Arial" w:hAnsi="Arial" w:cs="Arial"/>
          <w:color w:val="000000"/>
          <w:sz w:val="16"/>
          <w:szCs w:val="16"/>
        </w:rPr>
        <w:t xml:space="preserve">2 </w:t>
      </w:r>
      <w:r w:rsidR="004C5485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7188">
        <w:rPr>
          <w:rFonts w:ascii="Arial" w:hAnsi="Arial" w:cs="Arial"/>
          <w:color w:val="000000"/>
          <w:sz w:val="16"/>
          <w:szCs w:val="16"/>
        </w:rPr>
        <w:t>раза</w:t>
      </w:r>
      <w:r w:rsidR="004C5485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7188">
        <w:rPr>
          <w:rFonts w:ascii="Arial" w:hAnsi="Arial" w:cs="Arial"/>
          <w:color w:val="000000"/>
          <w:sz w:val="16"/>
          <w:szCs w:val="16"/>
        </w:rPr>
        <w:t xml:space="preserve"> в</w:t>
      </w:r>
      <w:r w:rsidR="004C5485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7188">
        <w:rPr>
          <w:rFonts w:ascii="Arial" w:hAnsi="Arial" w:cs="Arial"/>
          <w:color w:val="000000"/>
          <w:sz w:val="16"/>
          <w:szCs w:val="16"/>
        </w:rPr>
        <w:t xml:space="preserve"> день</w:t>
      </w:r>
      <w:r w:rsidR="004C5485">
        <w:rPr>
          <w:rFonts w:ascii="Arial" w:hAnsi="Arial" w:cs="Arial"/>
          <w:color w:val="000000"/>
          <w:sz w:val="16"/>
          <w:szCs w:val="16"/>
        </w:rPr>
        <w:t xml:space="preserve"> </w:t>
      </w:r>
      <w:r w:rsidRPr="00217188">
        <w:rPr>
          <w:rFonts w:ascii="Arial" w:hAnsi="Arial" w:cs="Arial"/>
          <w:color w:val="000000"/>
          <w:sz w:val="16"/>
          <w:szCs w:val="16"/>
        </w:rPr>
        <w:t xml:space="preserve"> (каждые</w:t>
      </w:r>
    </w:p>
    <w:p w:rsidR="00217188" w:rsidRPr="00217188" w:rsidRDefault="00217188" w:rsidP="00385C01">
      <w:pPr>
        <w:pStyle w:val="opispole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17188">
        <w:rPr>
          <w:rFonts w:ascii="Arial" w:hAnsi="Arial" w:cs="Arial"/>
          <w:color w:val="000000"/>
          <w:sz w:val="16"/>
          <w:szCs w:val="16"/>
        </w:rPr>
        <w:t>12 часов).</w:t>
      </w:r>
    </w:p>
    <w:p w:rsidR="00217188" w:rsidRPr="00217188" w:rsidRDefault="00217188" w:rsidP="00385C01">
      <w:pPr>
        <w:pStyle w:val="opispoleabz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17188">
        <w:rPr>
          <w:rFonts w:ascii="Arial" w:hAnsi="Arial" w:cs="Arial"/>
          <w:color w:val="000000"/>
          <w:sz w:val="16"/>
          <w:szCs w:val="16"/>
        </w:rPr>
        <w:t>Содержимое флакона следует растворить в 5-10 мл 0,9 % раствора натрия хлорида (ампула растворителя), а затем медленно ввести (в течение не менее 2 минут). При инфузии препарата раствор следует вводить на протяжении 15-30 минут.</w:t>
      </w:r>
    </w:p>
    <w:p w:rsidR="00217188" w:rsidRPr="00217188" w:rsidRDefault="00217188" w:rsidP="00385C01">
      <w:pPr>
        <w:pStyle w:val="opispoleabz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17188">
        <w:rPr>
          <w:rFonts w:ascii="Arial" w:hAnsi="Arial" w:cs="Arial"/>
          <w:color w:val="000000"/>
          <w:sz w:val="16"/>
          <w:szCs w:val="16"/>
        </w:rPr>
        <w:t xml:space="preserve">Растворы следует готовить непосредственно перед введением. Можно использовать только прозрачные бесцветные растворы. </w:t>
      </w:r>
    </w:p>
    <w:p w:rsidR="00217188" w:rsidRPr="00217188" w:rsidRDefault="00217188" w:rsidP="00385C01">
      <w:pPr>
        <w:pStyle w:val="opispoleabz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217188">
        <w:rPr>
          <w:rFonts w:ascii="Arial" w:hAnsi="Arial" w:cs="Arial"/>
          <w:i/>
          <w:iCs/>
          <w:color w:val="000000"/>
          <w:sz w:val="16"/>
          <w:szCs w:val="16"/>
        </w:rPr>
        <w:t>Гиперсекреторные состояния, язвенная болезнь желудка и двенадцатиперстной кишки в стадии обострения:</w:t>
      </w:r>
    </w:p>
    <w:p w:rsidR="004C5485" w:rsidRDefault="00217188" w:rsidP="00385C01">
      <w:pPr>
        <w:pStyle w:val="opispoleabz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217188">
        <w:rPr>
          <w:rFonts w:ascii="Arial" w:hAnsi="Arial" w:cs="Arial"/>
          <w:iCs/>
          <w:color w:val="000000"/>
          <w:sz w:val="16"/>
          <w:szCs w:val="16"/>
        </w:rPr>
        <w:t>- медленно</w:t>
      </w:r>
      <w:r w:rsidR="004C5485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 w:rsidRPr="00217188">
        <w:rPr>
          <w:rFonts w:ascii="Arial" w:hAnsi="Arial" w:cs="Arial"/>
          <w:iCs/>
          <w:color w:val="000000"/>
          <w:sz w:val="16"/>
          <w:szCs w:val="16"/>
        </w:rPr>
        <w:t xml:space="preserve"> болюсно,</w:t>
      </w:r>
      <w:r w:rsidR="004C5485">
        <w:rPr>
          <w:rFonts w:ascii="Arial" w:hAnsi="Arial" w:cs="Arial"/>
          <w:iCs/>
          <w:color w:val="000000"/>
          <w:sz w:val="16"/>
          <w:szCs w:val="16"/>
        </w:rPr>
        <w:t xml:space="preserve">  </w:t>
      </w:r>
      <w:r w:rsidRPr="00217188">
        <w:rPr>
          <w:rFonts w:ascii="Arial" w:hAnsi="Arial" w:cs="Arial"/>
          <w:iCs/>
          <w:color w:val="000000"/>
          <w:sz w:val="16"/>
          <w:szCs w:val="16"/>
        </w:rPr>
        <w:t>в</w:t>
      </w:r>
      <w:r w:rsidR="004C5485">
        <w:rPr>
          <w:rFonts w:ascii="Arial" w:hAnsi="Arial" w:cs="Arial"/>
          <w:iCs/>
          <w:color w:val="000000"/>
          <w:sz w:val="16"/>
          <w:szCs w:val="16"/>
        </w:rPr>
        <w:t xml:space="preserve">  </w:t>
      </w:r>
      <w:r w:rsidRPr="00217188">
        <w:rPr>
          <w:rFonts w:ascii="Arial" w:hAnsi="Arial" w:cs="Arial"/>
          <w:iCs/>
          <w:color w:val="000000"/>
          <w:sz w:val="16"/>
          <w:szCs w:val="16"/>
        </w:rPr>
        <w:t>течение</w:t>
      </w:r>
      <w:r w:rsidR="004C5485">
        <w:rPr>
          <w:rFonts w:ascii="Arial" w:hAnsi="Arial" w:cs="Arial"/>
          <w:iCs/>
          <w:color w:val="000000"/>
          <w:sz w:val="16"/>
          <w:szCs w:val="16"/>
        </w:rPr>
        <w:t xml:space="preserve">  </w:t>
      </w:r>
      <w:r w:rsidRPr="00217188">
        <w:rPr>
          <w:rFonts w:ascii="Arial" w:hAnsi="Arial" w:cs="Arial"/>
          <w:iCs/>
          <w:color w:val="000000"/>
          <w:sz w:val="16"/>
          <w:szCs w:val="16"/>
        </w:rPr>
        <w:t xml:space="preserve"> 2</w:t>
      </w:r>
      <w:r w:rsidR="004C5485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 w:rsidRPr="00217188">
        <w:rPr>
          <w:rFonts w:ascii="Arial" w:hAnsi="Arial" w:cs="Arial"/>
          <w:iCs/>
          <w:color w:val="000000"/>
          <w:sz w:val="16"/>
          <w:szCs w:val="16"/>
        </w:rPr>
        <w:t xml:space="preserve"> минут</w:t>
      </w:r>
      <w:r w:rsidR="004C5485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 w:rsidRPr="00217188">
        <w:rPr>
          <w:rFonts w:ascii="Arial" w:hAnsi="Arial" w:cs="Arial"/>
          <w:iCs/>
          <w:color w:val="000000"/>
          <w:sz w:val="16"/>
          <w:szCs w:val="16"/>
        </w:rPr>
        <w:t xml:space="preserve"> по</w:t>
      </w:r>
      <w:r w:rsidR="004C5485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 w:rsidRPr="00217188">
        <w:rPr>
          <w:rFonts w:ascii="Arial" w:hAnsi="Arial" w:cs="Arial"/>
          <w:iCs/>
          <w:color w:val="000000"/>
          <w:sz w:val="16"/>
          <w:szCs w:val="16"/>
        </w:rPr>
        <w:t xml:space="preserve"> 20 </w:t>
      </w:r>
      <w:r w:rsidR="004C5485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 w:rsidRPr="00217188">
        <w:rPr>
          <w:rFonts w:ascii="Arial" w:hAnsi="Arial" w:cs="Arial"/>
          <w:iCs/>
          <w:color w:val="000000"/>
          <w:sz w:val="16"/>
          <w:szCs w:val="16"/>
        </w:rPr>
        <w:t>мг</w:t>
      </w:r>
    </w:p>
    <w:p w:rsidR="00217188" w:rsidRPr="00217188" w:rsidRDefault="00217188" w:rsidP="00385C01">
      <w:pPr>
        <w:pStyle w:val="opispoleabz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217188">
        <w:rPr>
          <w:rFonts w:ascii="Arial" w:hAnsi="Arial" w:cs="Arial"/>
          <w:iCs/>
          <w:color w:val="000000"/>
          <w:sz w:val="16"/>
          <w:szCs w:val="16"/>
        </w:rPr>
        <w:t>2 раза в сутки;</w:t>
      </w:r>
    </w:p>
    <w:p w:rsidR="00217188" w:rsidRPr="00217188" w:rsidRDefault="00217188" w:rsidP="00385C01">
      <w:pPr>
        <w:pStyle w:val="opispoleabz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17188">
        <w:rPr>
          <w:rFonts w:ascii="Arial" w:hAnsi="Arial" w:cs="Arial"/>
          <w:iCs/>
          <w:color w:val="000000"/>
          <w:sz w:val="16"/>
          <w:szCs w:val="16"/>
        </w:rPr>
        <w:t>- капельно, в течение 15-30 минут по 20 мг 2 раза в сутки</w:t>
      </w:r>
      <w:r w:rsidRPr="00217188">
        <w:rPr>
          <w:rFonts w:ascii="Arial" w:hAnsi="Arial" w:cs="Arial"/>
          <w:color w:val="000000"/>
          <w:sz w:val="16"/>
          <w:szCs w:val="16"/>
        </w:rPr>
        <w:t>.</w:t>
      </w:r>
    </w:p>
    <w:p w:rsidR="00217188" w:rsidRPr="00217188" w:rsidRDefault="00217188" w:rsidP="00385C01">
      <w:pPr>
        <w:pStyle w:val="opispoleabz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217188">
        <w:rPr>
          <w:rFonts w:ascii="Arial" w:hAnsi="Arial" w:cs="Arial"/>
          <w:i/>
          <w:color w:val="000000"/>
          <w:sz w:val="16"/>
          <w:szCs w:val="16"/>
        </w:rPr>
        <w:t>Рефлюкс-эзофагит</w:t>
      </w:r>
    </w:p>
    <w:p w:rsidR="00217188" w:rsidRPr="00217188" w:rsidRDefault="00217188" w:rsidP="00385C01">
      <w:pPr>
        <w:pStyle w:val="opispoleabz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17188">
        <w:rPr>
          <w:rFonts w:ascii="Arial" w:hAnsi="Arial" w:cs="Arial"/>
          <w:color w:val="000000"/>
          <w:sz w:val="16"/>
          <w:szCs w:val="16"/>
        </w:rPr>
        <w:t>- 20 мг 2 раза в сутки внутривенно медленно.</w:t>
      </w:r>
    </w:p>
    <w:p w:rsidR="00217188" w:rsidRPr="00217188" w:rsidRDefault="00217188" w:rsidP="00385C01">
      <w:pPr>
        <w:pStyle w:val="opispoleabz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217188">
        <w:rPr>
          <w:rFonts w:ascii="Arial" w:hAnsi="Arial" w:cs="Arial"/>
          <w:i/>
          <w:color w:val="000000"/>
          <w:sz w:val="16"/>
          <w:szCs w:val="16"/>
        </w:rPr>
        <w:t>Синдром Золлингера-Эллисона</w:t>
      </w:r>
    </w:p>
    <w:p w:rsidR="00217188" w:rsidRPr="00217188" w:rsidRDefault="00217188" w:rsidP="00385C01">
      <w:pPr>
        <w:pStyle w:val="opispoleabz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17188">
        <w:rPr>
          <w:rFonts w:ascii="Arial" w:hAnsi="Arial" w:cs="Arial"/>
          <w:color w:val="000000"/>
          <w:sz w:val="16"/>
          <w:szCs w:val="16"/>
        </w:rPr>
        <w:t>Начальная доза – 20 мг внутривенно каждые 6 часов. При необходимости дозу препарата увеличивают в зависимости от объема кислотопродукции и клинического состояния пациента.</w:t>
      </w:r>
    </w:p>
    <w:p w:rsidR="00217188" w:rsidRPr="00217188" w:rsidRDefault="00217188" w:rsidP="00385C01">
      <w:pPr>
        <w:pStyle w:val="opispoleabz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217188">
        <w:rPr>
          <w:rFonts w:ascii="Arial" w:hAnsi="Arial" w:cs="Arial"/>
          <w:i/>
          <w:color w:val="000000"/>
          <w:sz w:val="16"/>
          <w:szCs w:val="16"/>
        </w:rPr>
        <w:t>Для предотвращения аспирации кислого желудочного содержимого при проведении общей анестезии</w:t>
      </w:r>
    </w:p>
    <w:p w:rsidR="00217188" w:rsidRPr="00217188" w:rsidRDefault="00217188" w:rsidP="00385C01">
      <w:pPr>
        <w:pStyle w:val="opispoleabz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17188">
        <w:rPr>
          <w:rFonts w:ascii="Arial" w:hAnsi="Arial" w:cs="Arial"/>
          <w:color w:val="000000"/>
          <w:sz w:val="16"/>
          <w:szCs w:val="16"/>
        </w:rPr>
        <w:lastRenderedPageBreak/>
        <w:t xml:space="preserve">- 20 мг утром в день операции или, по меньшей мере, за 2 часа до ее начала. </w:t>
      </w:r>
    </w:p>
    <w:p w:rsidR="00217188" w:rsidRPr="00217188" w:rsidRDefault="00217188" w:rsidP="00385C01">
      <w:pPr>
        <w:pStyle w:val="opispoleabz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217188">
        <w:rPr>
          <w:rFonts w:ascii="Arial" w:hAnsi="Arial" w:cs="Arial"/>
          <w:i/>
          <w:color w:val="000000"/>
          <w:sz w:val="16"/>
          <w:szCs w:val="16"/>
        </w:rPr>
        <w:t>Почечная недостаточность</w:t>
      </w:r>
    </w:p>
    <w:p w:rsidR="00217188" w:rsidRPr="00217188" w:rsidRDefault="00217188" w:rsidP="00385C01">
      <w:pPr>
        <w:pStyle w:val="opispoleabz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17188">
        <w:rPr>
          <w:rFonts w:ascii="Arial" w:hAnsi="Arial" w:cs="Arial"/>
          <w:color w:val="000000"/>
          <w:sz w:val="16"/>
          <w:szCs w:val="16"/>
        </w:rPr>
        <w:t>Поскольку фамотидин выводится преимущественно почками в неизменном виде, у пациентов с тяжелой почечной недостаточностью необходимо соблюдать меры предосторожности. Если клиренс креатинина составляет менее 30 мл/мин, а сывороточная концентрация креатинина превышает 3 мг/100 мл, то дозу необходимо снизить до 10 мг или увеличить интервалы между введениями обычной дозы до 36-48 часов.</w:t>
      </w:r>
    </w:p>
    <w:p w:rsidR="00217188" w:rsidRPr="00217188" w:rsidRDefault="00217188" w:rsidP="00385C01">
      <w:pPr>
        <w:pStyle w:val="opispoleabz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217188">
        <w:rPr>
          <w:rFonts w:ascii="Arial" w:hAnsi="Arial" w:cs="Arial"/>
          <w:i/>
          <w:color w:val="000000"/>
          <w:sz w:val="16"/>
          <w:szCs w:val="16"/>
        </w:rPr>
        <w:t>Дети</w:t>
      </w:r>
    </w:p>
    <w:p w:rsidR="00217188" w:rsidRPr="00217188" w:rsidRDefault="00217188" w:rsidP="00385C01">
      <w:pPr>
        <w:pStyle w:val="opispoleabz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17188">
        <w:rPr>
          <w:rFonts w:ascii="Arial" w:hAnsi="Arial" w:cs="Arial"/>
          <w:color w:val="000000"/>
          <w:sz w:val="16"/>
          <w:szCs w:val="16"/>
        </w:rPr>
        <w:t>Безопасность и эффективность препарата у детей в полной мере не установлены.</w:t>
      </w:r>
    </w:p>
    <w:p w:rsidR="00217188" w:rsidRPr="00217188" w:rsidRDefault="00217188" w:rsidP="00385C01">
      <w:pPr>
        <w:pStyle w:val="opispoleabz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217188">
        <w:rPr>
          <w:rFonts w:ascii="Arial" w:hAnsi="Arial" w:cs="Arial"/>
          <w:i/>
          <w:color w:val="000000"/>
          <w:sz w:val="16"/>
          <w:szCs w:val="16"/>
        </w:rPr>
        <w:t>Пожилой возраст (старше 65 лет)</w:t>
      </w:r>
    </w:p>
    <w:p w:rsidR="00217188" w:rsidRPr="00217188" w:rsidRDefault="00217188" w:rsidP="00385C01">
      <w:pPr>
        <w:pStyle w:val="opispoleabz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17188">
        <w:rPr>
          <w:rFonts w:ascii="Arial" w:hAnsi="Arial" w:cs="Arial"/>
          <w:color w:val="000000"/>
          <w:sz w:val="16"/>
          <w:szCs w:val="16"/>
        </w:rPr>
        <w:t xml:space="preserve">Коррекция дозы в зависимости от возраста не требуется. 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217188">
        <w:rPr>
          <w:b/>
          <w:bCs/>
          <w:color w:val="000000"/>
          <w:sz w:val="16"/>
          <w:szCs w:val="16"/>
        </w:rPr>
        <w:t xml:space="preserve">Побочное </w:t>
      </w:r>
      <w:r w:rsidRPr="00217188">
        <w:rPr>
          <w:b/>
          <w:color w:val="000000"/>
          <w:sz w:val="16"/>
          <w:szCs w:val="16"/>
        </w:rPr>
        <w:t>действие</w:t>
      </w:r>
    </w:p>
    <w:p w:rsidR="00217188" w:rsidRPr="00217188" w:rsidRDefault="00217188" w:rsidP="00385C01">
      <w:pPr>
        <w:pStyle w:val="a7"/>
        <w:spacing w:before="0" w:after="0" w:line="312" w:lineRule="auto"/>
        <w:ind w:left="0"/>
        <w:rPr>
          <w:rFonts w:ascii="Arial" w:eastAsia="Calibri" w:hAnsi="Arial" w:cs="Arial"/>
          <w:sz w:val="16"/>
          <w:szCs w:val="16"/>
          <w:lang w:eastAsia="en-US"/>
        </w:rPr>
      </w:pPr>
      <w:r w:rsidRPr="00217188">
        <w:rPr>
          <w:rFonts w:ascii="Arial" w:hAnsi="Arial" w:cs="Arial"/>
          <w:iCs/>
          <w:sz w:val="16"/>
          <w:szCs w:val="16"/>
        </w:rPr>
        <w:t>Частота развития побочных действий после применения препарата классифицирована согласно рекомендациям ВОЗ: ре</w:t>
      </w:r>
      <w:r w:rsidRPr="00217188">
        <w:rPr>
          <w:rFonts w:ascii="Arial" w:eastAsia="Calibri" w:hAnsi="Arial" w:cs="Arial"/>
          <w:sz w:val="16"/>
          <w:szCs w:val="16"/>
          <w:lang w:eastAsia="en-US"/>
        </w:rPr>
        <w:t>дко (≥1/10000 и &lt;1/1000), очень редко (&lt;1/10000), частота неизвестна (определить частоту встречаемости по имеющимся данным не представляется возможным).</w:t>
      </w:r>
    </w:p>
    <w:p w:rsidR="00217188" w:rsidRPr="00217188" w:rsidRDefault="00217188" w:rsidP="00385C01">
      <w:pPr>
        <w:pStyle w:val="a7"/>
        <w:spacing w:before="0" w:after="0" w:line="312" w:lineRule="auto"/>
        <w:ind w:left="0"/>
        <w:rPr>
          <w:rFonts w:ascii="Arial" w:hAnsi="Arial" w:cs="Arial"/>
          <w:iCs/>
          <w:sz w:val="16"/>
          <w:szCs w:val="16"/>
        </w:rPr>
      </w:pPr>
      <w:r w:rsidRPr="00217188">
        <w:rPr>
          <w:rFonts w:ascii="Arial" w:hAnsi="Arial" w:cs="Arial"/>
          <w:i/>
          <w:iCs/>
          <w:sz w:val="16"/>
          <w:szCs w:val="16"/>
        </w:rPr>
        <w:t xml:space="preserve">Со стороны желудочно-кишечного тракта: </w:t>
      </w:r>
      <w:r w:rsidRPr="00217188">
        <w:rPr>
          <w:rFonts w:ascii="Arial" w:hAnsi="Arial" w:cs="Arial"/>
          <w:iCs/>
          <w:sz w:val="16"/>
          <w:szCs w:val="16"/>
        </w:rPr>
        <w:t>редко – диарея, запор; очень редко – ощущение дискомфорта в животе, тошнота, рвота, сухость во рту, анорексия, различные вкусовые нарушения.</w:t>
      </w:r>
    </w:p>
    <w:p w:rsidR="00217188" w:rsidRPr="00217188" w:rsidRDefault="00217188" w:rsidP="00385C01">
      <w:pPr>
        <w:pStyle w:val="a7"/>
        <w:spacing w:before="0" w:after="0" w:line="312" w:lineRule="auto"/>
        <w:ind w:left="0"/>
        <w:rPr>
          <w:rFonts w:ascii="Arial" w:hAnsi="Arial" w:cs="Arial"/>
          <w:iCs/>
          <w:sz w:val="16"/>
          <w:szCs w:val="16"/>
        </w:rPr>
      </w:pPr>
      <w:r w:rsidRPr="00217188">
        <w:rPr>
          <w:rFonts w:ascii="Arial" w:hAnsi="Arial" w:cs="Arial"/>
          <w:i/>
          <w:iCs/>
          <w:sz w:val="16"/>
          <w:szCs w:val="16"/>
        </w:rPr>
        <w:t>Со стороны печени и желчевыводящих путей:</w:t>
      </w:r>
      <w:r w:rsidRPr="00217188">
        <w:rPr>
          <w:rFonts w:ascii="Arial" w:hAnsi="Arial" w:cs="Arial"/>
          <w:iCs/>
          <w:sz w:val="16"/>
          <w:szCs w:val="16"/>
        </w:rPr>
        <w:t xml:space="preserve"> </w:t>
      </w:r>
      <w:r w:rsidRPr="00217188">
        <w:rPr>
          <w:rFonts w:ascii="Arial" w:hAnsi="Arial" w:cs="Arial"/>
          <w:bCs/>
          <w:sz w:val="16"/>
          <w:szCs w:val="16"/>
        </w:rPr>
        <w:t>очень редко – холестатическая желтуха</w:t>
      </w:r>
      <w:r w:rsidRPr="00217188">
        <w:rPr>
          <w:rFonts w:ascii="Arial" w:hAnsi="Arial" w:cs="Arial"/>
          <w:iCs/>
          <w:sz w:val="16"/>
          <w:szCs w:val="16"/>
        </w:rPr>
        <w:t>.</w:t>
      </w:r>
    </w:p>
    <w:p w:rsidR="00217188" w:rsidRPr="00217188" w:rsidRDefault="00217188" w:rsidP="00385C01">
      <w:pPr>
        <w:pStyle w:val="a7"/>
        <w:spacing w:before="0" w:after="0" w:line="312" w:lineRule="auto"/>
        <w:ind w:left="0"/>
        <w:rPr>
          <w:rFonts w:ascii="Arial" w:hAnsi="Arial" w:cs="Arial"/>
          <w:iCs/>
          <w:sz w:val="16"/>
          <w:szCs w:val="16"/>
        </w:rPr>
      </w:pPr>
      <w:r w:rsidRPr="00217188">
        <w:rPr>
          <w:rFonts w:ascii="Arial" w:hAnsi="Arial" w:cs="Arial"/>
          <w:i/>
          <w:iCs/>
          <w:sz w:val="16"/>
          <w:szCs w:val="16"/>
        </w:rPr>
        <w:t>Со стороны центральной нервной системы:</w:t>
      </w:r>
      <w:r w:rsidRPr="00217188">
        <w:rPr>
          <w:rFonts w:ascii="Arial" w:hAnsi="Arial" w:cs="Arial"/>
          <w:iCs/>
          <w:sz w:val="16"/>
          <w:szCs w:val="16"/>
        </w:rPr>
        <w:t xml:space="preserve"> редко – головная боль, очень редко – головокружение, судорожные эпилептиформные припадки.</w:t>
      </w:r>
    </w:p>
    <w:p w:rsidR="00217188" w:rsidRPr="00217188" w:rsidRDefault="00217188" w:rsidP="00385C01">
      <w:pPr>
        <w:pStyle w:val="a7"/>
        <w:spacing w:before="0" w:after="0" w:line="312" w:lineRule="auto"/>
        <w:ind w:left="0"/>
        <w:rPr>
          <w:rFonts w:ascii="Arial" w:hAnsi="Arial" w:cs="Arial"/>
          <w:iCs/>
          <w:sz w:val="16"/>
          <w:szCs w:val="16"/>
        </w:rPr>
      </w:pPr>
      <w:r w:rsidRPr="00217188">
        <w:rPr>
          <w:rFonts w:ascii="Arial" w:hAnsi="Arial" w:cs="Arial"/>
          <w:i/>
          <w:iCs/>
          <w:sz w:val="16"/>
          <w:szCs w:val="16"/>
        </w:rPr>
        <w:t>Со стороны психики:</w:t>
      </w:r>
      <w:r w:rsidRPr="00217188">
        <w:rPr>
          <w:rFonts w:ascii="Arial" w:hAnsi="Arial" w:cs="Arial"/>
          <w:iCs/>
          <w:sz w:val="16"/>
          <w:szCs w:val="16"/>
        </w:rPr>
        <w:t xml:space="preserve"> очень редко – депрессия, галлюцинации, возбуждение, тревога, спутанность сознания, бессонница</w:t>
      </w:r>
      <w:r w:rsidR="00E974FB">
        <w:rPr>
          <w:rFonts w:ascii="Arial" w:hAnsi="Arial" w:cs="Arial"/>
          <w:iCs/>
          <w:sz w:val="16"/>
          <w:szCs w:val="16"/>
        </w:rPr>
        <w:t>,</w:t>
      </w:r>
      <w:r w:rsidRPr="00217188">
        <w:rPr>
          <w:rFonts w:ascii="Arial" w:hAnsi="Arial" w:cs="Arial"/>
          <w:iCs/>
          <w:sz w:val="16"/>
          <w:szCs w:val="16"/>
        </w:rPr>
        <w:t xml:space="preserve"> сонливость.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sz w:val="16"/>
          <w:szCs w:val="16"/>
        </w:rPr>
      </w:pPr>
      <w:r w:rsidRPr="00217188">
        <w:rPr>
          <w:bCs/>
          <w:i/>
          <w:sz w:val="16"/>
          <w:szCs w:val="16"/>
        </w:rPr>
        <w:t>Со стороны скелетно-мышечной системы:</w:t>
      </w:r>
      <w:r w:rsidRPr="00217188">
        <w:rPr>
          <w:bCs/>
          <w:sz w:val="16"/>
          <w:szCs w:val="16"/>
        </w:rPr>
        <w:t xml:space="preserve"> очень редко – артралгия, миалгия, мышечные спазмы.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sz w:val="16"/>
          <w:szCs w:val="16"/>
        </w:rPr>
      </w:pPr>
      <w:r w:rsidRPr="00217188">
        <w:rPr>
          <w:bCs/>
          <w:i/>
          <w:sz w:val="16"/>
          <w:szCs w:val="16"/>
        </w:rPr>
        <w:t xml:space="preserve">Со стороны крови и лимфатической системы: </w:t>
      </w:r>
      <w:r w:rsidRPr="00217188">
        <w:rPr>
          <w:bCs/>
          <w:sz w:val="16"/>
          <w:szCs w:val="16"/>
        </w:rPr>
        <w:t>очень редко – агранулоцитоз, лейкопения, панцитопения, тромбоцитопения.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sz w:val="16"/>
          <w:szCs w:val="16"/>
        </w:rPr>
      </w:pPr>
      <w:r w:rsidRPr="00217188">
        <w:rPr>
          <w:bCs/>
          <w:i/>
          <w:sz w:val="16"/>
          <w:szCs w:val="16"/>
        </w:rPr>
        <w:t>Со стороны кожи и подкожных тканей:</w:t>
      </w:r>
      <w:r w:rsidRPr="00217188">
        <w:rPr>
          <w:bCs/>
          <w:sz w:val="16"/>
          <w:szCs w:val="16"/>
        </w:rPr>
        <w:t xml:space="preserve"> очень редко – угревая сыпь, алопеция, сухость кожных покровов, токсический эпидермальный некролиз.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sz w:val="16"/>
          <w:szCs w:val="16"/>
        </w:rPr>
      </w:pPr>
      <w:r w:rsidRPr="00217188">
        <w:rPr>
          <w:bCs/>
          <w:i/>
          <w:sz w:val="16"/>
          <w:szCs w:val="16"/>
        </w:rPr>
        <w:t xml:space="preserve">Со стороны органа слуха и вестибулярного аппарата: </w:t>
      </w:r>
      <w:r w:rsidRPr="00217188">
        <w:rPr>
          <w:bCs/>
          <w:sz w:val="16"/>
          <w:szCs w:val="16"/>
        </w:rPr>
        <w:t>частота неизвестна – шум в ушах.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sz w:val="16"/>
          <w:szCs w:val="16"/>
        </w:rPr>
      </w:pPr>
      <w:r w:rsidRPr="00217188">
        <w:rPr>
          <w:bCs/>
          <w:i/>
          <w:sz w:val="16"/>
          <w:szCs w:val="16"/>
        </w:rPr>
        <w:t xml:space="preserve">Со стороны половых органов и молочной железы: </w:t>
      </w:r>
      <w:r w:rsidRPr="00217188">
        <w:rPr>
          <w:bCs/>
          <w:sz w:val="16"/>
          <w:szCs w:val="16"/>
        </w:rPr>
        <w:t>очень редко – гинекомастия (при прекращении лечения носит обратимый характер), снижение либидо, импотенция.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sz w:val="16"/>
          <w:szCs w:val="16"/>
        </w:rPr>
      </w:pPr>
      <w:r w:rsidRPr="00217188">
        <w:rPr>
          <w:bCs/>
          <w:i/>
          <w:sz w:val="16"/>
          <w:szCs w:val="16"/>
        </w:rPr>
        <w:t>Со стороны иммунной системы:</w:t>
      </w:r>
      <w:r w:rsidRPr="00217188">
        <w:rPr>
          <w:bCs/>
          <w:sz w:val="16"/>
          <w:szCs w:val="16"/>
        </w:rPr>
        <w:t xml:space="preserve"> очень редко – анафилаксия, крапивница, кожная сыпь, гиперемия склер и кожных покровов, ангионевротический отек, отек периорбитальных областей глаз, лица.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sz w:val="16"/>
          <w:szCs w:val="16"/>
        </w:rPr>
      </w:pPr>
      <w:r w:rsidRPr="00217188">
        <w:rPr>
          <w:bCs/>
          <w:i/>
          <w:sz w:val="16"/>
          <w:szCs w:val="16"/>
        </w:rPr>
        <w:t>Со стороны сердечно-сосудистой системы:</w:t>
      </w:r>
      <w:r w:rsidRPr="00217188">
        <w:rPr>
          <w:bCs/>
          <w:sz w:val="16"/>
          <w:szCs w:val="16"/>
        </w:rPr>
        <w:t xml:space="preserve"> очень редко </w:t>
      </w:r>
      <w:r w:rsidR="004C5485" w:rsidRPr="00217188">
        <w:rPr>
          <w:bCs/>
          <w:sz w:val="16"/>
          <w:szCs w:val="16"/>
        </w:rPr>
        <w:t>–</w:t>
      </w:r>
      <w:r w:rsidRPr="00217188">
        <w:rPr>
          <w:bCs/>
          <w:sz w:val="16"/>
          <w:szCs w:val="16"/>
        </w:rPr>
        <w:t xml:space="preserve"> аритмия, атриовентрикулярная блокада, сердцебиение.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sz w:val="16"/>
          <w:szCs w:val="16"/>
        </w:rPr>
      </w:pPr>
      <w:r w:rsidRPr="00217188">
        <w:rPr>
          <w:bCs/>
          <w:i/>
          <w:sz w:val="16"/>
          <w:szCs w:val="16"/>
        </w:rPr>
        <w:t xml:space="preserve">Со стороны дыхательной системы, органов грудной клетки и средостения: </w:t>
      </w:r>
      <w:r w:rsidRPr="00217188">
        <w:rPr>
          <w:bCs/>
          <w:sz w:val="16"/>
          <w:szCs w:val="16"/>
        </w:rPr>
        <w:t>очень</w:t>
      </w:r>
      <w:r w:rsidRPr="00217188">
        <w:rPr>
          <w:bCs/>
          <w:i/>
          <w:sz w:val="16"/>
          <w:szCs w:val="16"/>
        </w:rPr>
        <w:t xml:space="preserve"> </w:t>
      </w:r>
      <w:r w:rsidRPr="00217188">
        <w:rPr>
          <w:bCs/>
          <w:sz w:val="16"/>
          <w:szCs w:val="16"/>
        </w:rPr>
        <w:t>редко – бронхоспазм.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sz w:val="16"/>
          <w:szCs w:val="16"/>
        </w:rPr>
      </w:pPr>
      <w:r w:rsidRPr="00217188">
        <w:rPr>
          <w:bCs/>
          <w:i/>
          <w:sz w:val="16"/>
          <w:szCs w:val="16"/>
        </w:rPr>
        <w:t xml:space="preserve">Общие расстройства и нарушения в месте введения: </w:t>
      </w:r>
      <w:r w:rsidRPr="00217188">
        <w:rPr>
          <w:bCs/>
          <w:sz w:val="16"/>
          <w:szCs w:val="16"/>
        </w:rPr>
        <w:t>очень редко – повышенная утомляемость, астения, лихорадка.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sz w:val="16"/>
          <w:szCs w:val="16"/>
        </w:rPr>
      </w:pPr>
      <w:r w:rsidRPr="00217188">
        <w:rPr>
          <w:bCs/>
          <w:i/>
          <w:sz w:val="16"/>
          <w:szCs w:val="16"/>
        </w:rPr>
        <w:t xml:space="preserve">Лабораторные и инструментальные данные: </w:t>
      </w:r>
      <w:r w:rsidRPr="00217188">
        <w:rPr>
          <w:bCs/>
          <w:sz w:val="16"/>
          <w:szCs w:val="16"/>
        </w:rPr>
        <w:t>очень редко – повышение активности «печеночных» ферментов.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/>
          <w:bCs/>
          <w:sz w:val="16"/>
          <w:szCs w:val="16"/>
        </w:rPr>
      </w:pPr>
      <w:r w:rsidRPr="00217188">
        <w:rPr>
          <w:b/>
          <w:bCs/>
          <w:sz w:val="16"/>
          <w:szCs w:val="16"/>
        </w:rPr>
        <w:t>Передозировка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color w:val="000000"/>
          <w:sz w:val="16"/>
          <w:szCs w:val="16"/>
        </w:rPr>
      </w:pPr>
      <w:r w:rsidRPr="00217188">
        <w:rPr>
          <w:bCs/>
          <w:color w:val="000000"/>
          <w:sz w:val="16"/>
          <w:szCs w:val="16"/>
        </w:rPr>
        <w:t xml:space="preserve">У пациентов с синдромом патологической гиперсекреции назначались дозы до 800 мг в сутки на протяжении периода свыше одного года, что не сопровождалось возникновением серьезных нежелательных явлений. 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color w:val="000000"/>
          <w:sz w:val="16"/>
          <w:szCs w:val="16"/>
        </w:rPr>
      </w:pPr>
      <w:r w:rsidRPr="00217188">
        <w:rPr>
          <w:bCs/>
          <w:color w:val="000000"/>
          <w:sz w:val="16"/>
          <w:szCs w:val="16"/>
        </w:rPr>
        <w:t>Лечение: симптоматическая и поддерживающая терапия; мониторинг состояния пациента.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217188">
        <w:rPr>
          <w:b/>
          <w:bCs/>
          <w:color w:val="000000"/>
          <w:sz w:val="16"/>
          <w:szCs w:val="16"/>
        </w:rPr>
        <w:t>Взаимодействие с другими лекарственными средствами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color w:val="000000"/>
          <w:sz w:val="16"/>
          <w:szCs w:val="16"/>
        </w:rPr>
      </w:pPr>
      <w:r w:rsidRPr="00217188">
        <w:rPr>
          <w:bCs/>
          <w:color w:val="000000"/>
          <w:sz w:val="16"/>
          <w:szCs w:val="16"/>
        </w:rPr>
        <w:t>Совместим с 0,9 % раствором натрия хлорида, 5 % раствором декстрозы, 4,2 % раствором натрия гидрокарбоната.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color w:val="000000"/>
          <w:sz w:val="16"/>
          <w:szCs w:val="16"/>
        </w:rPr>
      </w:pPr>
      <w:r w:rsidRPr="00217188">
        <w:rPr>
          <w:bCs/>
          <w:color w:val="000000"/>
          <w:sz w:val="16"/>
          <w:szCs w:val="16"/>
        </w:rPr>
        <w:t>Увеличивает всасывание амоксициллина и клавулановой кислоты.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color w:val="000000"/>
          <w:sz w:val="16"/>
          <w:szCs w:val="16"/>
        </w:rPr>
      </w:pPr>
      <w:r w:rsidRPr="00217188">
        <w:rPr>
          <w:bCs/>
          <w:color w:val="000000"/>
          <w:sz w:val="16"/>
          <w:szCs w:val="16"/>
        </w:rPr>
        <w:t>Антациды и сукральфат замедляют абсорбцию фамотидина после перорального приема.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color w:val="000000"/>
          <w:sz w:val="16"/>
          <w:szCs w:val="16"/>
        </w:rPr>
      </w:pPr>
      <w:r w:rsidRPr="00217188">
        <w:rPr>
          <w:bCs/>
          <w:color w:val="000000"/>
          <w:sz w:val="16"/>
          <w:szCs w:val="16"/>
        </w:rPr>
        <w:t>Снижает всасывание итраконазола и кетоконазола.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color w:val="000000"/>
          <w:sz w:val="16"/>
          <w:szCs w:val="16"/>
        </w:rPr>
      </w:pPr>
      <w:r w:rsidRPr="00217188">
        <w:rPr>
          <w:bCs/>
          <w:color w:val="000000"/>
          <w:sz w:val="16"/>
          <w:szCs w:val="16"/>
        </w:rPr>
        <w:t>Лекарственные средства, угнетающие костный мозг, увеличивают риск развития нейтропении.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217188">
        <w:rPr>
          <w:b/>
          <w:bCs/>
          <w:color w:val="000000"/>
          <w:sz w:val="16"/>
          <w:szCs w:val="16"/>
        </w:rPr>
        <w:t>Особые указания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color w:val="000000"/>
          <w:sz w:val="16"/>
          <w:szCs w:val="16"/>
        </w:rPr>
      </w:pPr>
      <w:r w:rsidRPr="00217188">
        <w:rPr>
          <w:color w:val="000000"/>
          <w:sz w:val="16"/>
          <w:szCs w:val="16"/>
        </w:rPr>
        <w:t>Перед началом терапии, или, если такой возможности нет, перед переходом на пероральное лечение необходимо исключить наличие злокачественного новообразования желудка.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color w:val="000000"/>
          <w:sz w:val="16"/>
          <w:szCs w:val="16"/>
        </w:rPr>
      </w:pPr>
      <w:r w:rsidRPr="00217188">
        <w:rPr>
          <w:color w:val="000000"/>
          <w:sz w:val="16"/>
          <w:szCs w:val="16"/>
        </w:rPr>
        <w:t>При почечной и/или печеночной недостаточности фамотидин следует использовать с осторожностью в сниженной дозе.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color w:val="000000"/>
          <w:sz w:val="16"/>
          <w:szCs w:val="16"/>
        </w:rPr>
      </w:pPr>
      <w:r w:rsidRPr="00217188">
        <w:rPr>
          <w:color w:val="000000"/>
          <w:sz w:val="16"/>
          <w:szCs w:val="16"/>
        </w:rPr>
        <w:t>Поскольку в случае использования блокаторов Н</w:t>
      </w:r>
      <w:r w:rsidRPr="00217188">
        <w:rPr>
          <w:color w:val="000000"/>
          <w:sz w:val="16"/>
          <w:szCs w:val="16"/>
          <w:vertAlign w:val="subscript"/>
        </w:rPr>
        <w:t>2</w:t>
      </w:r>
      <w:r w:rsidRPr="00217188">
        <w:rPr>
          <w:color w:val="000000"/>
          <w:sz w:val="16"/>
          <w:szCs w:val="16"/>
        </w:rPr>
        <w:t>-гистаминовых рецепторов была описана перекрестная аллергия, применение фамотидина у пациентов, имеющих в анамнезе гиперчувствительность к другим блокаторам Н</w:t>
      </w:r>
      <w:r w:rsidRPr="00217188">
        <w:rPr>
          <w:color w:val="000000"/>
          <w:sz w:val="16"/>
          <w:szCs w:val="16"/>
          <w:vertAlign w:val="subscript"/>
        </w:rPr>
        <w:t>2</w:t>
      </w:r>
      <w:r w:rsidRPr="00217188">
        <w:rPr>
          <w:color w:val="000000"/>
          <w:sz w:val="16"/>
          <w:szCs w:val="16"/>
        </w:rPr>
        <w:t>-гистаминовых рецепторов, требует осторожности.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color w:val="000000"/>
          <w:sz w:val="16"/>
          <w:szCs w:val="16"/>
          <w:shd w:val="clear" w:color="auto" w:fill="FFFFFF"/>
        </w:rPr>
      </w:pPr>
      <w:r w:rsidRPr="00217188">
        <w:rPr>
          <w:b/>
          <w:bCs/>
          <w:sz w:val="16"/>
          <w:szCs w:val="16"/>
        </w:rPr>
        <w:t>Влияние на способность управлять транспортными средствами, механизмами</w:t>
      </w:r>
      <w:r w:rsidRPr="00217188" w:rsidDel="002C2A25">
        <w:rPr>
          <w:b/>
          <w:bCs/>
          <w:sz w:val="16"/>
          <w:szCs w:val="16"/>
        </w:rPr>
        <w:t xml:space="preserve"> </w:t>
      </w:r>
      <w:r w:rsidRPr="00217188">
        <w:rPr>
          <w:color w:val="000000"/>
          <w:sz w:val="16"/>
          <w:szCs w:val="16"/>
          <w:shd w:val="clear" w:color="auto" w:fill="FFFFFF"/>
        </w:rPr>
        <w:t>Пациентам следует соблюдать осторожность при выполнении работ, требующих быстроты психомоторных реакций (в т.ч. при управлении автотранспорта и работе с техникой), поскольку во время лечения может возникать головокружение и наблюдаться повышенная утомляемость.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217188">
        <w:rPr>
          <w:b/>
          <w:bCs/>
          <w:sz w:val="16"/>
          <w:szCs w:val="16"/>
        </w:rPr>
        <w:t>Форма выпуска</w:t>
      </w:r>
    </w:p>
    <w:p w:rsidR="00217188" w:rsidRPr="00217188" w:rsidRDefault="00217188" w:rsidP="00385C01">
      <w:pPr>
        <w:spacing w:line="312" w:lineRule="auto"/>
        <w:jc w:val="both"/>
        <w:rPr>
          <w:bCs/>
          <w:sz w:val="16"/>
          <w:szCs w:val="16"/>
        </w:rPr>
      </w:pPr>
      <w:r w:rsidRPr="00217188">
        <w:rPr>
          <w:bCs/>
          <w:sz w:val="16"/>
          <w:szCs w:val="16"/>
        </w:rPr>
        <w:t xml:space="preserve">Лиофилизат для приготовления раствора для внутривенного введения, 20 мг. </w:t>
      </w:r>
    </w:p>
    <w:p w:rsidR="00217188" w:rsidRPr="00217188" w:rsidRDefault="00217188" w:rsidP="00385C01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217188">
        <w:rPr>
          <w:rFonts w:eastAsia="Calibri"/>
          <w:sz w:val="16"/>
          <w:szCs w:val="16"/>
          <w:lang w:eastAsia="en-US"/>
        </w:rPr>
        <w:t>По 20 мг фамотидина в бесцветные стеклянные флаконы, герметично укупоренные резиновыми пробками, обжатые комбинированными колпачками типа «флип-офф».</w:t>
      </w:r>
    </w:p>
    <w:p w:rsidR="00217188" w:rsidRPr="00217188" w:rsidRDefault="00217188" w:rsidP="00385C01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217188">
        <w:rPr>
          <w:rFonts w:eastAsia="Calibri"/>
          <w:sz w:val="16"/>
          <w:szCs w:val="16"/>
          <w:lang w:eastAsia="en-US"/>
        </w:rPr>
        <w:t xml:space="preserve">Растворитель – 0,9 % раствор натрия хлорида в стеклянных ампулах объемом 5 мл. </w:t>
      </w:r>
    </w:p>
    <w:p w:rsidR="00217188" w:rsidRPr="00217188" w:rsidRDefault="00217188" w:rsidP="00385C01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217188">
        <w:rPr>
          <w:rFonts w:eastAsia="Calibri"/>
          <w:sz w:val="16"/>
          <w:szCs w:val="16"/>
          <w:lang w:eastAsia="en-US"/>
        </w:rPr>
        <w:t>По 5 флаконов с препаратом и 5 ампулам с растворителем в контурной ячейковой упаковке из пленки поливинилхлоридной.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bCs/>
          <w:sz w:val="16"/>
          <w:szCs w:val="16"/>
        </w:rPr>
      </w:pPr>
      <w:r w:rsidRPr="00217188">
        <w:rPr>
          <w:rFonts w:eastAsia="Calibri"/>
          <w:sz w:val="16"/>
          <w:szCs w:val="16"/>
          <w:lang w:eastAsia="en-US"/>
        </w:rPr>
        <w:t>По 1 или 2 контурные ячейковые упаковки вместе с инструкцией по применению в пачке из картона</w:t>
      </w:r>
      <w:r w:rsidRPr="00217188">
        <w:rPr>
          <w:sz w:val="16"/>
          <w:szCs w:val="16"/>
        </w:rPr>
        <w:t>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217188">
        <w:rPr>
          <w:b/>
          <w:bCs/>
          <w:color w:val="000000"/>
          <w:sz w:val="16"/>
          <w:szCs w:val="16"/>
        </w:rPr>
        <w:t>Условия хранения</w:t>
      </w:r>
    </w:p>
    <w:p w:rsidR="00217188" w:rsidRPr="00217188" w:rsidRDefault="00217188" w:rsidP="00385C01">
      <w:pPr>
        <w:pStyle w:val="Arial"/>
        <w:spacing w:line="312" w:lineRule="auto"/>
        <w:ind w:firstLine="0"/>
        <w:rPr>
          <w:rFonts w:cs="Arial"/>
          <w:sz w:val="16"/>
          <w:szCs w:val="16"/>
        </w:rPr>
      </w:pPr>
      <w:r w:rsidRPr="00217188">
        <w:rPr>
          <w:rFonts w:cs="Arial"/>
          <w:sz w:val="16"/>
          <w:szCs w:val="16"/>
        </w:rPr>
        <w:t>В защищенном от света месте, при температуре не выше 25 ºС.</w:t>
      </w:r>
    </w:p>
    <w:p w:rsidR="00217188" w:rsidRPr="00217188" w:rsidRDefault="00217188" w:rsidP="00385C01">
      <w:pPr>
        <w:pStyle w:val="Arial"/>
        <w:spacing w:line="312" w:lineRule="auto"/>
        <w:ind w:firstLine="0"/>
        <w:rPr>
          <w:rFonts w:cs="Arial"/>
          <w:sz w:val="16"/>
          <w:szCs w:val="16"/>
        </w:rPr>
      </w:pPr>
      <w:r w:rsidRPr="00217188">
        <w:rPr>
          <w:rFonts w:cs="Arial"/>
          <w:sz w:val="16"/>
          <w:szCs w:val="16"/>
        </w:rPr>
        <w:t>Хранить в недоступном для детей месте.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217188">
        <w:rPr>
          <w:b/>
          <w:bCs/>
          <w:color w:val="000000"/>
          <w:sz w:val="16"/>
          <w:szCs w:val="16"/>
        </w:rPr>
        <w:t>Срок годности</w:t>
      </w:r>
    </w:p>
    <w:p w:rsidR="00217188" w:rsidRPr="00217188" w:rsidRDefault="00217188" w:rsidP="00385C01">
      <w:pPr>
        <w:spacing w:line="312" w:lineRule="auto"/>
        <w:jc w:val="both"/>
        <w:rPr>
          <w:color w:val="000000"/>
          <w:sz w:val="16"/>
          <w:szCs w:val="16"/>
        </w:rPr>
      </w:pPr>
      <w:r w:rsidRPr="00217188">
        <w:rPr>
          <w:sz w:val="16"/>
          <w:szCs w:val="16"/>
        </w:rPr>
        <w:t xml:space="preserve">3 года. </w:t>
      </w:r>
      <w:r w:rsidRPr="00217188">
        <w:rPr>
          <w:color w:val="000000"/>
          <w:sz w:val="16"/>
          <w:szCs w:val="16"/>
        </w:rPr>
        <w:t>Не применять препарат после истечения срока годности, указанного на упаковке.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217188">
        <w:rPr>
          <w:b/>
          <w:bCs/>
          <w:sz w:val="16"/>
          <w:szCs w:val="16"/>
        </w:rPr>
        <w:t>Условия отпуска из аптек</w:t>
      </w:r>
    </w:p>
    <w:p w:rsidR="00217188" w:rsidRPr="00217188" w:rsidRDefault="00217188" w:rsidP="00385C01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217188">
        <w:rPr>
          <w:sz w:val="16"/>
          <w:szCs w:val="16"/>
        </w:rPr>
        <w:t xml:space="preserve">Отпускают по рецепту. </w:t>
      </w:r>
    </w:p>
    <w:p w:rsidR="00217188" w:rsidRPr="00217188" w:rsidRDefault="00217188" w:rsidP="00385C01">
      <w:pPr>
        <w:spacing w:line="312" w:lineRule="auto"/>
        <w:jc w:val="both"/>
        <w:rPr>
          <w:b/>
          <w:sz w:val="16"/>
          <w:szCs w:val="16"/>
        </w:rPr>
      </w:pPr>
      <w:r w:rsidRPr="00217188">
        <w:rPr>
          <w:b/>
          <w:sz w:val="16"/>
          <w:szCs w:val="16"/>
        </w:rPr>
        <w:t>Юридическое лицо, на имя которого выдано регистрационное удостоверение/ Организация, принимающая претензии потребителей</w:t>
      </w:r>
    </w:p>
    <w:p w:rsidR="004C5485" w:rsidRDefault="00217188" w:rsidP="00385C01">
      <w:pPr>
        <w:spacing w:line="312" w:lineRule="auto"/>
        <w:jc w:val="both"/>
        <w:rPr>
          <w:sz w:val="16"/>
          <w:szCs w:val="16"/>
        </w:rPr>
      </w:pPr>
      <w:r w:rsidRPr="00217188">
        <w:rPr>
          <w:sz w:val="16"/>
          <w:szCs w:val="16"/>
        </w:rPr>
        <w:t>ООО «Лайф Сайнсес ОХФК», Россия</w:t>
      </w:r>
    </w:p>
    <w:p w:rsidR="00217188" w:rsidRPr="00217188" w:rsidRDefault="00217188" w:rsidP="00385C01">
      <w:pPr>
        <w:spacing w:line="312" w:lineRule="auto"/>
        <w:jc w:val="both"/>
        <w:rPr>
          <w:sz w:val="16"/>
          <w:szCs w:val="16"/>
        </w:rPr>
      </w:pPr>
      <w:r w:rsidRPr="00217188">
        <w:rPr>
          <w:sz w:val="16"/>
          <w:szCs w:val="16"/>
        </w:rPr>
        <w:t>249033, Калужская обл., г. Обнинск,</w:t>
      </w:r>
      <w:r w:rsidR="00A90661">
        <w:rPr>
          <w:sz w:val="16"/>
          <w:szCs w:val="16"/>
        </w:rPr>
        <w:t xml:space="preserve"> </w:t>
      </w:r>
      <w:r w:rsidRPr="00217188">
        <w:rPr>
          <w:sz w:val="16"/>
          <w:szCs w:val="16"/>
        </w:rPr>
        <w:t>ул. Горького, д. 4</w:t>
      </w:r>
    </w:p>
    <w:p w:rsidR="00217188" w:rsidRPr="00217188" w:rsidRDefault="00217188" w:rsidP="00385C01">
      <w:pPr>
        <w:spacing w:line="312" w:lineRule="auto"/>
        <w:jc w:val="both"/>
        <w:rPr>
          <w:sz w:val="16"/>
          <w:szCs w:val="16"/>
        </w:rPr>
      </w:pPr>
      <w:r w:rsidRPr="00217188">
        <w:rPr>
          <w:sz w:val="16"/>
          <w:szCs w:val="16"/>
        </w:rPr>
        <w:t>Тел/факс: (495) 984-28-40</w:t>
      </w:r>
    </w:p>
    <w:p w:rsidR="00217188" w:rsidRPr="00217188" w:rsidRDefault="00217188" w:rsidP="00385C01">
      <w:pPr>
        <w:spacing w:line="312" w:lineRule="auto"/>
        <w:jc w:val="both"/>
        <w:rPr>
          <w:sz w:val="16"/>
          <w:szCs w:val="16"/>
        </w:rPr>
      </w:pPr>
      <w:r w:rsidRPr="00217188">
        <w:rPr>
          <w:b/>
          <w:sz w:val="16"/>
          <w:szCs w:val="16"/>
        </w:rPr>
        <w:t xml:space="preserve">Производитель (все стадии производства, включая выпускающий контроль качества) </w:t>
      </w:r>
    </w:p>
    <w:p w:rsidR="00217188" w:rsidRPr="00217188" w:rsidRDefault="00217188" w:rsidP="00385C01">
      <w:pPr>
        <w:spacing w:line="312" w:lineRule="auto"/>
        <w:jc w:val="both"/>
        <w:rPr>
          <w:sz w:val="16"/>
          <w:szCs w:val="16"/>
        </w:rPr>
      </w:pPr>
      <w:r w:rsidRPr="00217188">
        <w:rPr>
          <w:sz w:val="16"/>
          <w:szCs w:val="16"/>
        </w:rPr>
        <w:t>ООО Фирма «Фермент», Россия</w:t>
      </w:r>
    </w:p>
    <w:p w:rsidR="00217188" w:rsidRPr="00217188" w:rsidRDefault="00217188" w:rsidP="00385C01">
      <w:pPr>
        <w:spacing w:line="312" w:lineRule="auto"/>
        <w:jc w:val="both"/>
        <w:rPr>
          <w:sz w:val="16"/>
          <w:szCs w:val="16"/>
        </w:rPr>
      </w:pPr>
      <w:r w:rsidRPr="00217188">
        <w:rPr>
          <w:sz w:val="16"/>
          <w:szCs w:val="16"/>
        </w:rPr>
        <w:t>Юридический адрес: 123298, г. Москва, ул. Маршала Малиновского, д. 6, корп. 1, оф. 3</w:t>
      </w:r>
    </w:p>
    <w:p w:rsidR="00217188" w:rsidRPr="00217188" w:rsidRDefault="00217188" w:rsidP="00385C01">
      <w:pPr>
        <w:spacing w:line="312" w:lineRule="auto"/>
        <w:jc w:val="both"/>
        <w:rPr>
          <w:sz w:val="16"/>
          <w:szCs w:val="16"/>
        </w:rPr>
      </w:pPr>
      <w:r w:rsidRPr="00217188">
        <w:rPr>
          <w:sz w:val="16"/>
          <w:szCs w:val="16"/>
        </w:rPr>
        <w:t>Адрес места производства: 143422, Московская обл., Красногорский район, с. Петрово-Дальнее, «Биомед» им. Мечникова</w:t>
      </w:r>
    </w:p>
    <w:p w:rsidR="00217188" w:rsidRPr="00217188" w:rsidRDefault="00217188" w:rsidP="00385C01">
      <w:pPr>
        <w:spacing w:line="312" w:lineRule="auto"/>
        <w:jc w:val="both"/>
        <w:rPr>
          <w:sz w:val="16"/>
          <w:szCs w:val="16"/>
        </w:rPr>
      </w:pPr>
      <w:r w:rsidRPr="00217188">
        <w:rPr>
          <w:sz w:val="16"/>
          <w:szCs w:val="16"/>
        </w:rPr>
        <w:t>Тел./факс: (495) 635-04-47</w:t>
      </w:r>
    </w:p>
    <w:p w:rsidR="00217188" w:rsidRPr="00217188" w:rsidRDefault="00217188" w:rsidP="00385C01">
      <w:pPr>
        <w:suppressAutoHyphens/>
        <w:spacing w:line="312" w:lineRule="auto"/>
        <w:jc w:val="both"/>
        <w:rPr>
          <w:b/>
          <w:sz w:val="16"/>
          <w:szCs w:val="16"/>
          <w:lang w:eastAsia="ar-SA"/>
        </w:rPr>
      </w:pPr>
      <w:r w:rsidRPr="00217188">
        <w:rPr>
          <w:b/>
          <w:sz w:val="16"/>
          <w:szCs w:val="16"/>
          <w:lang w:eastAsia="ar-SA"/>
        </w:rPr>
        <w:t>Упаковщик/ Выпускающий контроль качества</w:t>
      </w:r>
    </w:p>
    <w:p w:rsidR="00217188" w:rsidRPr="00217188" w:rsidRDefault="00217188" w:rsidP="00385C01">
      <w:pPr>
        <w:suppressAutoHyphens/>
        <w:spacing w:line="312" w:lineRule="auto"/>
        <w:jc w:val="both"/>
        <w:rPr>
          <w:sz w:val="16"/>
          <w:szCs w:val="16"/>
          <w:lang w:eastAsia="ar-SA"/>
        </w:rPr>
      </w:pPr>
      <w:r w:rsidRPr="00217188">
        <w:rPr>
          <w:sz w:val="16"/>
          <w:szCs w:val="16"/>
          <w:lang w:eastAsia="ar-SA"/>
        </w:rPr>
        <w:t>ЗАО «Обнинская</w:t>
      </w:r>
      <w:r w:rsidR="000412AC">
        <w:rPr>
          <w:sz w:val="16"/>
          <w:szCs w:val="16"/>
          <w:lang w:eastAsia="ar-SA"/>
        </w:rPr>
        <w:t xml:space="preserve"> </w:t>
      </w:r>
      <w:r w:rsidRPr="00217188">
        <w:rPr>
          <w:sz w:val="16"/>
          <w:szCs w:val="16"/>
          <w:lang w:eastAsia="ar-SA"/>
        </w:rPr>
        <w:t>химико-фармацевтическая компания» (ЗАО «ОХФК»), Россия</w:t>
      </w:r>
    </w:p>
    <w:p w:rsidR="00217188" w:rsidRPr="00217188" w:rsidRDefault="00217188" w:rsidP="00385C01">
      <w:pPr>
        <w:suppressAutoHyphens/>
        <w:spacing w:line="312" w:lineRule="auto"/>
        <w:jc w:val="both"/>
        <w:rPr>
          <w:sz w:val="16"/>
          <w:szCs w:val="16"/>
          <w:lang w:eastAsia="ar-SA"/>
        </w:rPr>
      </w:pPr>
      <w:r w:rsidRPr="00217188">
        <w:rPr>
          <w:sz w:val="16"/>
          <w:szCs w:val="16"/>
          <w:lang w:eastAsia="ar-SA"/>
        </w:rPr>
        <w:t>249036, Калужская обл., г. Обнинск, Киевское шоссе, зд. 103, зд. 107</w:t>
      </w:r>
    </w:p>
    <w:p w:rsidR="00126039" w:rsidRDefault="00217188" w:rsidP="00385C01">
      <w:pPr>
        <w:suppressAutoHyphens/>
        <w:spacing w:line="312" w:lineRule="auto"/>
        <w:jc w:val="both"/>
        <w:rPr>
          <w:sz w:val="16"/>
          <w:szCs w:val="16"/>
          <w:lang w:eastAsia="ar-SA"/>
        </w:rPr>
      </w:pPr>
      <w:r w:rsidRPr="00217188">
        <w:rPr>
          <w:sz w:val="16"/>
          <w:szCs w:val="16"/>
          <w:lang w:eastAsia="ar-SA"/>
        </w:rPr>
        <w:t>Тел./факс: (48439) 6-47-41, 6-35-84, 6-65-35;</w:t>
      </w:r>
    </w:p>
    <w:p w:rsidR="00217188" w:rsidRPr="00217188" w:rsidRDefault="00217188" w:rsidP="00385C01">
      <w:pPr>
        <w:suppressAutoHyphens/>
        <w:spacing w:line="312" w:lineRule="auto"/>
        <w:jc w:val="both"/>
        <w:rPr>
          <w:sz w:val="16"/>
          <w:szCs w:val="16"/>
          <w:lang w:eastAsia="ar-SA"/>
        </w:rPr>
      </w:pPr>
      <w:r w:rsidRPr="00217188">
        <w:rPr>
          <w:sz w:val="16"/>
          <w:szCs w:val="16"/>
          <w:lang w:val="en-US" w:eastAsia="ar-SA"/>
        </w:rPr>
        <w:t>e</w:t>
      </w:r>
      <w:r w:rsidRPr="00217188">
        <w:rPr>
          <w:sz w:val="16"/>
          <w:szCs w:val="16"/>
          <w:lang w:eastAsia="ar-SA"/>
        </w:rPr>
        <w:t>-</w:t>
      </w:r>
      <w:r w:rsidRPr="00217188">
        <w:rPr>
          <w:sz w:val="16"/>
          <w:szCs w:val="16"/>
          <w:lang w:val="en-US" w:eastAsia="ar-SA"/>
        </w:rPr>
        <w:t>mail</w:t>
      </w:r>
      <w:r w:rsidRPr="00217188">
        <w:rPr>
          <w:sz w:val="16"/>
          <w:szCs w:val="16"/>
          <w:lang w:eastAsia="ar-SA"/>
        </w:rPr>
        <w:t>: obninsk@mirpharm.ru</w:t>
      </w:r>
    </w:p>
    <w:p w:rsidR="005E4FAF" w:rsidRPr="00217188" w:rsidRDefault="005E4FAF" w:rsidP="00385C01">
      <w:pPr>
        <w:spacing w:line="312" w:lineRule="auto"/>
      </w:pPr>
    </w:p>
    <w:sectPr w:rsidR="005E4FAF" w:rsidRPr="00217188" w:rsidSect="00A90661">
      <w:headerReference w:type="even" r:id="rId8"/>
      <w:footerReference w:type="even" r:id="rId9"/>
      <w:pgSz w:w="17577" w:h="10773" w:orient="landscape" w:code="9"/>
      <w:pgMar w:top="284" w:right="284" w:bottom="284" w:left="284" w:header="284" w:footer="284" w:gutter="0"/>
      <w:cols w:num="4" w:space="284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28B" w:rsidRDefault="0026628B">
      <w:r>
        <w:separator/>
      </w:r>
    </w:p>
  </w:endnote>
  <w:endnote w:type="continuationSeparator" w:id="0">
    <w:p w:rsidR="0026628B" w:rsidRDefault="0026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B49" w:rsidRDefault="0060550F" w:rsidP="00E07D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6B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B49" w:rsidRDefault="00E16B49" w:rsidP="00C835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28B" w:rsidRDefault="0026628B">
      <w:r>
        <w:separator/>
      </w:r>
    </w:p>
  </w:footnote>
  <w:footnote w:type="continuationSeparator" w:id="0">
    <w:p w:rsidR="0026628B" w:rsidRDefault="0026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B49" w:rsidRDefault="0060550F" w:rsidP="00A5656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6B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B49" w:rsidRDefault="00E16B49" w:rsidP="00A5656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391"/>
    <w:multiLevelType w:val="hybridMultilevel"/>
    <w:tmpl w:val="E57A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40AB"/>
    <w:multiLevelType w:val="hybridMultilevel"/>
    <w:tmpl w:val="5636B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FE3588"/>
    <w:multiLevelType w:val="hybridMultilevel"/>
    <w:tmpl w:val="C396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4AD1"/>
    <w:multiLevelType w:val="hybridMultilevel"/>
    <w:tmpl w:val="D028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41CFE"/>
    <w:multiLevelType w:val="hybridMultilevel"/>
    <w:tmpl w:val="D25C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F3A0C"/>
    <w:multiLevelType w:val="hybridMultilevel"/>
    <w:tmpl w:val="22F68018"/>
    <w:lvl w:ilvl="0" w:tplc="AF5C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110B"/>
    <w:multiLevelType w:val="hybridMultilevel"/>
    <w:tmpl w:val="89A0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57F19"/>
    <w:multiLevelType w:val="hybridMultilevel"/>
    <w:tmpl w:val="88A6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40307"/>
    <w:multiLevelType w:val="hybridMultilevel"/>
    <w:tmpl w:val="A2FC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8636A"/>
    <w:multiLevelType w:val="hybridMultilevel"/>
    <w:tmpl w:val="2796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7E3"/>
    <w:rsid w:val="000029E2"/>
    <w:rsid w:val="00005B05"/>
    <w:rsid w:val="000144B9"/>
    <w:rsid w:val="00015A55"/>
    <w:rsid w:val="000160F2"/>
    <w:rsid w:val="00016F52"/>
    <w:rsid w:val="00020369"/>
    <w:rsid w:val="00024E74"/>
    <w:rsid w:val="000259ED"/>
    <w:rsid w:val="00027161"/>
    <w:rsid w:val="00031D67"/>
    <w:rsid w:val="00032CA3"/>
    <w:rsid w:val="0004122A"/>
    <w:rsid w:val="000412AC"/>
    <w:rsid w:val="00041E74"/>
    <w:rsid w:val="00047286"/>
    <w:rsid w:val="000504EC"/>
    <w:rsid w:val="0005143D"/>
    <w:rsid w:val="000521CA"/>
    <w:rsid w:val="000543C5"/>
    <w:rsid w:val="000577FA"/>
    <w:rsid w:val="00084B67"/>
    <w:rsid w:val="000853BE"/>
    <w:rsid w:val="00086312"/>
    <w:rsid w:val="00094B79"/>
    <w:rsid w:val="000A0753"/>
    <w:rsid w:val="000A1801"/>
    <w:rsid w:val="000A1CB3"/>
    <w:rsid w:val="000A382D"/>
    <w:rsid w:val="000A413C"/>
    <w:rsid w:val="000A42B9"/>
    <w:rsid w:val="000A502D"/>
    <w:rsid w:val="000A72EB"/>
    <w:rsid w:val="000B2154"/>
    <w:rsid w:val="000B5D3C"/>
    <w:rsid w:val="000B719D"/>
    <w:rsid w:val="000C6421"/>
    <w:rsid w:val="000D1B25"/>
    <w:rsid w:val="000D2029"/>
    <w:rsid w:val="000D6F2D"/>
    <w:rsid w:val="000D767A"/>
    <w:rsid w:val="000E45C2"/>
    <w:rsid w:val="000E4F2D"/>
    <w:rsid w:val="000E4F9D"/>
    <w:rsid w:val="000E58AB"/>
    <w:rsid w:val="000E5A4F"/>
    <w:rsid w:val="000E7014"/>
    <w:rsid w:val="000F0337"/>
    <w:rsid w:val="000F2E8F"/>
    <w:rsid w:val="000F4F50"/>
    <w:rsid w:val="000F6405"/>
    <w:rsid w:val="00101ED3"/>
    <w:rsid w:val="001072A1"/>
    <w:rsid w:val="0011067D"/>
    <w:rsid w:val="001107F6"/>
    <w:rsid w:val="00111A31"/>
    <w:rsid w:val="001145D6"/>
    <w:rsid w:val="0011483B"/>
    <w:rsid w:val="00114E77"/>
    <w:rsid w:val="0011556A"/>
    <w:rsid w:val="001211F3"/>
    <w:rsid w:val="00123242"/>
    <w:rsid w:val="00126039"/>
    <w:rsid w:val="0012682A"/>
    <w:rsid w:val="0012734F"/>
    <w:rsid w:val="00127D26"/>
    <w:rsid w:val="00140617"/>
    <w:rsid w:val="00144154"/>
    <w:rsid w:val="00151F1D"/>
    <w:rsid w:val="0015292B"/>
    <w:rsid w:val="00152FE3"/>
    <w:rsid w:val="00164085"/>
    <w:rsid w:val="00175559"/>
    <w:rsid w:val="00177479"/>
    <w:rsid w:val="001849CA"/>
    <w:rsid w:val="001866EE"/>
    <w:rsid w:val="00187D27"/>
    <w:rsid w:val="00190FA9"/>
    <w:rsid w:val="0019332A"/>
    <w:rsid w:val="00194D96"/>
    <w:rsid w:val="00196D95"/>
    <w:rsid w:val="001A6A08"/>
    <w:rsid w:val="001C17E1"/>
    <w:rsid w:val="001C6806"/>
    <w:rsid w:val="001D1CFB"/>
    <w:rsid w:val="001D2E9E"/>
    <w:rsid w:val="001D3EFC"/>
    <w:rsid w:val="001D52EF"/>
    <w:rsid w:val="001D5357"/>
    <w:rsid w:val="001D66C7"/>
    <w:rsid w:val="001D7547"/>
    <w:rsid w:val="001E2EDF"/>
    <w:rsid w:val="001E48B4"/>
    <w:rsid w:val="001E5DF5"/>
    <w:rsid w:val="001E7B15"/>
    <w:rsid w:val="001F0DDE"/>
    <w:rsid w:val="001F3DEF"/>
    <w:rsid w:val="001F439B"/>
    <w:rsid w:val="001F6161"/>
    <w:rsid w:val="00200A35"/>
    <w:rsid w:val="00201949"/>
    <w:rsid w:val="00213238"/>
    <w:rsid w:val="002161A7"/>
    <w:rsid w:val="00217188"/>
    <w:rsid w:val="0022124A"/>
    <w:rsid w:val="002217B7"/>
    <w:rsid w:val="00221C6B"/>
    <w:rsid w:val="00223EE2"/>
    <w:rsid w:val="00225663"/>
    <w:rsid w:val="00227393"/>
    <w:rsid w:val="00230BB3"/>
    <w:rsid w:val="00230EF0"/>
    <w:rsid w:val="00245464"/>
    <w:rsid w:val="00245806"/>
    <w:rsid w:val="002475A5"/>
    <w:rsid w:val="00252B32"/>
    <w:rsid w:val="002562B9"/>
    <w:rsid w:val="002578C0"/>
    <w:rsid w:val="0026628B"/>
    <w:rsid w:val="002668A7"/>
    <w:rsid w:val="00267812"/>
    <w:rsid w:val="0027332A"/>
    <w:rsid w:val="0027379B"/>
    <w:rsid w:val="00274E89"/>
    <w:rsid w:val="00277515"/>
    <w:rsid w:val="00277797"/>
    <w:rsid w:val="0028185A"/>
    <w:rsid w:val="00283889"/>
    <w:rsid w:val="002838E3"/>
    <w:rsid w:val="00283B4F"/>
    <w:rsid w:val="00291595"/>
    <w:rsid w:val="00291969"/>
    <w:rsid w:val="00291D39"/>
    <w:rsid w:val="00297B74"/>
    <w:rsid w:val="002A1C62"/>
    <w:rsid w:val="002A32EE"/>
    <w:rsid w:val="002A44BB"/>
    <w:rsid w:val="002B3278"/>
    <w:rsid w:val="002C04A9"/>
    <w:rsid w:val="002C0CEB"/>
    <w:rsid w:val="002C3920"/>
    <w:rsid w:val="002D2146"/>
    <w:rsid w:val="002D36CD"/>
    <w:rsid w:val="002E287D"/>
    <w:rsid w:val="002E75DE"/>
    <w:rsid w:val="002F0FF4"/>
    <w:rsid w:val="002F6EF5"/>
    <w:rsid w:val="00300141"/>
    <w:rsid w:val="0030036B"/>
    <w:rsid w:val="00302334"/>
    <w:rsid w:val="00305880"/>
    <w:rsid w:val="00311027"/>
    <w:rsid w:val="00311F57"/>
    <w:rsid w:val="00314D71"/>
    <w:rsid w:val="00315E02"/>
    <w:rsid w:val="003213B8"/>
    <w:rsid w:val="00323E58"/>
    <w:rsid w:val="00324267"/>
    <w:rsid w:val="003272D2"/>
    <w:rsid w:val="00330473"/>
    <w:rsid w:val="00333539"/>
    <w:rsid w:val="003421C0"/>
    <w:rsid w:val="003432E7"/>
    <w:rsid w:val="003435D5"/>
    <w:rsid w:val="003460FF"/>
    <w:rsid w:val="00346148"/>
    <w:rsid w:val="00347C96"/>
    <w:rsid w:val="0035673B"/>
    <w:rsid w:val="00363360"/>
    <w:rsid w:val="00363DCC"/>
    <w:rsid w:val="00364557"/>
    <w:rsid w:val="0036465F"/>
    <w:rsid w:val="00366159"/>
    <w:rsid w:val="003755B0"/>
    <w:rsid w:val="00376EF2"/>
    <w:rsid w:val="003840D5"/>
    <w:rsid w:val="00385351"/>
    <w:rsid w:val="00385C01"/>
    <w:rsid w:val="003902DB"/>
    <w:rsid w:val="00396911"/>
    <w:rsid w:val="0039799D"/>
    <w:rsid w:val="003A5FB4"/>
    <w:rsid w:val="003B3740"/>
    <w:rsid w:val="003B5DED"/>
    <w:rsid w:val="003C3D37"/>
    <w:rsid w:val="003C7176"/>
    <w:rsid w:val="003D1676"/>
    <w:rsid w:val="003D3E40"/>
    <w:rsid w:val="003D4C83"/>
    <w:rsid w:val="003E37BC"/>
    <w:rsid w:val="003E5C7F"/>
    <w:rsid w:val="003E5F3C"/>
    <w:rsid w:val="003F4312"/>
    <w:rsid w:val="003F7D59"/>
    <w:rsid w:val="00406FEA"/>
    <w:rsid w:val="004078A3"/>
    <w:rsid w:val="00410E6F"/>
    <w:rsid w:val="00415B1C"/>
    <w:rsid w:val="0043205D"/>
    <w:rsid w:val="00435B4A"/>
    <w:rsid w:val="004452DE"/>
    <w:rsid w:val="0044675C"/>
    <w:rsid w:val="00452B8E"/>
    <w:rsid w:val="0045422D"/>
    <w:rsid w:val="004556BA"/>
    <w:rsid w:val="00460BA5"/>
    <w:rsid w:val="00464E6E"/>
    <w:rsid w:val="00467109"/>
    <w:rsid w:val="004674C3"/>
    <w:rsid w:val="00474301"/>
    <w:rsid w:val="004743F0"/>
    <w:rsid w:val="00477BF2"/>
    <w:rsid w:val="00480CB8"/>
    <w:rsid w:val="004828B1"/>
    <w:rsid w:val="004847C6"/>
    <w:rsid w:val="004A5672"/>
    <w:rsid w:val="004B0A76"/>
    <w:rsid w:val="004B5843"/>
    <w:rsid w:val="004B717C"/>
    <w:rsid w:val="004B74A2"/>
    <w:rsid w:val="004C5485"/>
    <w:rsid w:val="004D0669"/>
    <w:rsid w:val="004D2580"/>
    <w:rsid w:val="004D5879"/>
    <w:rsid w:val="004D6798"/>
    <w:rsid w:val="004D70B6"/>
    <w:rsid w:val="004E170D"/>
    <w:rsid w:val="004E4419"/>
    <w:rsid w:val="004F1278"/>
    <w:rsid w:val="004F41EA"/>
    <w:rsid w:val="004F7CEA"/>
    <w:rsid w:val="0050057A"/>
    <w:rsid w:val="005008DF"/>
    <w:rsid w:val="00501367"/>
    <w:rsid w:val="005061F1"/>
    <w:rsid w:val="00507C83"/>
    <w:rsid w:val="00517E78"/>
    <w:rsid w:val="005224F2"/>
    <w:rsid w:val="00523841"/>
    <w:rsid w:val="00532C81"/>
    <w:rsid w:val="00536697"/>
    <w:rsid w:val="00536A0A"/>
    <w:rsid w:val="00541F63"/>
    <w:rsid w:val="00545945"/>
    <w:rsid w:val="00545D88"/>
    <w:rsid w:val="00553433"/>
    <w:rsid w:val="00556C18"/>
    <w:rsid w:val="0055776D"/>
    <w:rsid w:val="00560F88"/>
    <w:rsid w:val="00562AD4"/>
    <w:rsid w:val="0056366C"/>
    <w:rsid w:val="00564FA5"/>
    <w:rsid w:val="005655F5"/>
    <w:rsid w:val="00565828"/>
    <w:rsid w:val="00570264"/>
    <w:rsid w:val="00570A4E"/>
    <w:rsid w:val="0057238A"/>
    <w:rsid w:val="00574B1E"/>
    <w:rsid w:val="00577DC8"/>
    <w:rsid w:val="00577F86"/>
    <w:rsid w:val="00582AAE"/>
    <w:rsid w:val="005863C9"/>
    <w:rsid w:val="00593129"/>
    <w:rsid w:val="00593871"/>
    <w:rsid w:val="005939FE"/>
    <w:rsid w:val="005A27E3"/>
    <w:rsid w:val="005A2E26"/>
    <w:rsid w:val="005A40E5"/>
    <w:rsid w:val="005A57FF"/>
    <w:rsid w:val="005A653C"/>
    <w:rsid w:val="005B20EE"/>
    <w:rsid w:val="005B2EDD"/>
    <w:rsid w:val="005B3E0D"/>
    <w:rsid w:val="005B4AAC"/>
    <w:rsid w:val="005C54B1"/>
    <w:rsid w:val="005C5B92"/>
    <w:rsid w:val="005C66E5"/>
    <w:rsid w:val="005D0874"/>
    <w:rsid w:val="005E4FAF"/>
    <w:rsid w:val="005F12B8"/>
    <w:rsid w:val="005F7A90"/>
    <w:rsid w:val="00602A89"/>
    <w:rsid w:val="0060550F"/>
    <w:rsid w:val="006065EA"/>
    <w:rsid w:val="00606C4B"/>
    <w:rsid w:val="006075D7"/>
    <w:rsid w:val="00611565"/>
    <w:rsid w:val="00611B21"/>
    <w:rsid w:val="00617747"/>
    <w:rsid w:val="00622EFF"/>
    <w:rsid w:val="00622F7E"/>
    <w:rsid w:val="00630C40"/>
    <w:rsid w:val="00631A07"/>
    <w:rsid w:val="0063208E"/>
    <w:rsid w:val="00634B5D"/>
    <w:rsid w:val="00641FBE"/>
    <w:rsid w:val="006518C7"/>
    <w:rsid w:val="00653B5C"/>
    <w:rsid w:val="00653C0F"/>
    <w:rsid w:val="00654F59"/>
    <w:rsid w:val="00661706"/>
    <w:rsid w:val="00663D04"/>
    <w:rsid w:val="00664594"/>
    <w:rsid w:val="00666E4B"/>
    <w:rsid w:val="0067071C"/>
    <w:rsid w:val="00670766"/>
    <w:rsid w:val="00674DD9"/>
    <w:rsid w:val="0068241D"/>
    <w:rsid w:val="00682E0E"/>
    <w:rsid w:val="00684D63"/>
    <w:rsid w:val="0068503B"/>
    <w:rsid w:val="006A15E0"/>
    <w:rsid w:val="006A23E3"/>
    <w:rsid w:val="006A4A8C"/>
    <w:rsid w:val="006A61A9"/>
    <w:rsid w:val="006B0218"/>
    <w:rsid w:val="006C43B2"/>
    <w:rsid w:val="006D02AF"/>
    <w:rsid w:val="006D1C2F"/>
    <w:rsid w:val="006D43D2"/>
    <w:rsid w:val="006D47B6"/>
    <w:rsid w:val="006D5E32"/>
    <w:rsid w:val="006E28A3"/>
    <w:rsid w:val="006F0638"/>
    <w:rsid w:val="00702489"/>
    <w:rsid w:val="007026E4"/>
    <w:rsid w:val="00716D5E"/>
    <w:rsid w:val="007213B0"/>
    <w:rsid w:val="00721AFB"/>
    <w:rsid w:val="007341F6"/>
    <w:rsid w:val="00735115"/>
    <w:rsid w:val="00735DF5"/>
    <w:rsid w:val="0073668A"/>
    <w:rsid w:val="00743F95"/>
    <w:rsid w:val="007512D0"/>
    <w:rsid w:val="00761652"/>
    <w:rsid w:val="00763CE0"/>
    <w:rsid w:val="00764AD9"/>
    <w:rsid w:val="00773800"/>
    <w:rsid w:val="00775010"/>
    <w:rsid w:val="00775828"/>
    <w:rsid w:val="007769ED"/>
    <w:rsid w:val="007820F4"/>
    <w:rsid w:val="007862FD"/>
    <w:rsid w:val="00792693"/>
    <w:rsid w:val="00792EF8"/>
    <w:rsid w:val="00794DD5"/>
    <w:rsid w:val="0079592E"/>
    <w:rsid w:val="00795DFD"/>
    <w:rsid w:val="00797C89"/>
    <w:rsid w:val="007A1943"/>
    <w:rsid w:val="007B10DD"/>
    <w:rsid w:val="007B124A"/>
    <w:rsid w:val="007B587B"/>
    <w:rsid w:val="007B6703"/>
    <w:rsid w:val="007B68D5"/>
    <w:rsid w:val="007C01DD"/>
    <w:rsid w:val="007C3139"/>
    <w:rsid w:val="007C4504"/>
    <w:rsid w:val="007D0074"/>
    <w:rsid w:val="007E3B78"/>
    <w:rsid w:val="008008F7"/>
    <w:rsid w:val="008014A7"/>
    <w:rsid w:val="00813023"/>
    <w:rsid w:val="00813963"/>
    <w:rsid w:val="00814A34"/>
    <w:rsid w:val="00815AE3"/>
    <w:rsid w:val="00820A61"/>
    <w:rsid w:val="0082120A"/>
    <w:rsid w:val="00824409"/>
    <w:rsid w:val="0083335E"/>
    <w:rsid w:val="00847DF6"/>
    <w:rsid w:val="00854752"/>
    <w:rsid w:val="00862807"/>
    <w:rsid w:val="00880601"/>
    <w:rsid w:val="00882AA1"/>
    <w:rsid w:val="00884355"/>
    <w:rsid w:val="00887521"/>
    <w:rsid w:val="008931A8"/>
    <w:rsid w:val="00893E2B"/>
    <w:rsid w:val="0089652E"/>
    <w:rsid w:val="008969FD"/>
    <w:rsid w:val="008A2E21"/>
    <w:rsid w:val="008A58F0"/>
    <w:rsid w:val="008A6E81"/>
    <w:rsid w:val="008B45BF"/>
    <w:rsid w:val="008C2474"/>
    <w:rsid w:val="008C250D"/>
    <w:rsid w:val="008C4B15"/>
    <w:rsid w:val="008D1725"/>
    <w:rsid w:val="008D2FE2"/>
    <w:rsid w:val="008E3424"/>
    <w:rsid w:val="008E41D8"/>
    <w:rsid w:val="008E5BDD"/>
    <w:rsid w:val="008F0C25"/>
    <w:rsid w:val="008F6023"/>
    <w:rsid w:val="008F66A1"/>
    <w:rsid w:val="008F6B43"/>
    <w:rsid w:val="00900439"/>
    <w:rsid w:val="00904402"/>
    <w:rsid w:val="00912AED"/>
    <w:rsid w:val="00912F14"/>
    <w:rsid w:val="0091738F"/>
    <w:rsid w:val="00922261"/>
    <w:rsid w:val="00925B4C"/>
    <w:rsid w:val="00926757"/>
    <w:rsid w:val="00930B93"/>
    <w:rsid w:val="00930D74"/>
    <w:rsid w:val="00935B54"/>
    <w:rsid w:val="00936F24"/>
    <w:rsid w:val="009417F1"/>
    <w:rsid w:val="00942D6B"/>
    <w:rsid w:val="00950A9C"/>
    <w:rsid w:val="0095129E"/>
    <w:rsid w:val="00951F31"/>
    <w:rsid w:val="009522AA"/>
    <w:rsid w:val="009522EE"/>
    <w:rsid w:val="00953206"/>
    <w:rsid w:val="0095729D"/>
    <w:rsid w:val="009572E1"/>
    <w:rsid w:val="00972C91"/>
    <w:rsid w:val="00972F4C"/>
    <w:rsid w:val="009751B6"/>
    <w:rsid w:val="0098073F"/>
    <w:rsid w:val="00981897"/>
    <w:rsid w:val="00983033"/>
    <w:rsid w:val="00986FF8"/>
    <w:rsid w:val="0099030A"/>
    <w:rsid w:val="00995201"/>
    <w:rsid w:val="009963BC"/>
    <w:rsid w:val="009A0540"/>
    <w:rsid w:val="009A62A0"/>
    <w:rsid w:val="009A6969"/>
    <w:rsid w:val="009B35AE"/>
    <w:rsid w:val="009B44B9"/>
    <w:rsid w:val="009B5897"/>
    <w:rsid w:val="009B7449"/>
    <w:rsid w:val="009C21D3"/>
    <w:rsid w:val="009D1845"/>
    <w:rsid w:val="009D6108"/>
    <w:rsid w:val="009E37FA"/>
    <w:rsid w:val="009F25B9"/>
    <w:rsid w:val="009F41DE"/>
    <w:rsid w:val="00A007CC"/>
    <w:rsid w:val="00A0228E"/>
    <w:rsid w:val="00A029C2"/>
    <w:rsid w:val="00A06312"/>
    <w:rsid w:val="00A13EF9"/>
    <w:rsid w:val="00A1560B"/>
    <w:rsid w:val="00A2044A"/>
    <w:rsid w:val="00A20D13"/>
    <w:rsid w:val="00A2290B"/>
    <w:rsid w:val="00A27B0E"/>
    <w:rsid w:val="00A36733"/>
    <w:rsid w:val="00A4520B"/>
    <w:rsid w:val="00A51F74"/>
    <w:rsid w:val="00A52D1B"/>
    <w:rsid w:val="00A54FAA"/>
    <w:rsid w:val="00A56564"/>
    <w:rsid w:val="00A60B8E"/>
    <w:rsid w:val="00A7292A"/>
    <w:rsid w:val="00A84748"/>
    <w:rsid w:val="00A90661"/>
    <w:rsid w:val="00A91C69"/>
    <w:rsid w:val="00A9364D"/>
    <w:rsid w:val="00A9461A"/>
    <w:rsid w:val="00A94B87"/>
    <w:rsid w:val="00AA5DE3"/>
    <w:rsid w:val="00AB15BD"/>
    <w:rsid w:val="00AB2617"/>
    <w:rsid w:val="00AB2E6F"/>
    <w:rsid w:val="00AC00DB"/>
    <w:rsid w:val="00AD3AA2"/>
    <w:rsid w:val="00AD479F"/>
    <w:rsid w:val="00AD6CAC"/>
    <w:rsid w:val="00AE20D1"/>
    <w:rsid w:val="00AE3E49"/>
    <w:rsid w:val="00AE5BE5"/>
    <w:rsid w:val="00AE6AD3"/>
    <w:rsid w:val="00AF03DE"/>
    <w:rsid w:val="00AF041F"/>
    <w:rsid w:val="00AF5267"/>
    <w:rsid w:val="00B06615"/>
    <w:rsid w:val="00B120F8"/>
    <w:rsid w:val="00B14EB7"/>
    <w:rsid w:val="00B2419C"/>
    <w:rsid w:val="00B272C6"/>
    <w:rsid w:val="00B335E3"/>
    <w:rsid w:val="00B408FB"/>
    <w:rsid w:val="00B41B76"/>
    <w:rsid w:val="00B47434"/>
    <w:rsid w:val="00B57C3C"/>
    <w:rsid w:val="00B63A0F"/>
    <w:rsid w:val="00B66D81"/>
    <w:rsid w:val="00B73496"/>
    <w:rsid w:val="00B80515"/>
    <w:rsid w:val="00B822EE"/>
    <w:rsid w:val="00B823AD"/>
    <w:rsid w:val="00B84EF8"/>
    <w:rsid w:val="00B90532"/>
    <w:rsid w:val="00B93759"/>
    <w:rsid w:val="00BA0B2B"/>
    <w:rsid w:val="00BA1E37"/>
    <w:rsid w:val="00BA3175"/>
    <w:rsid w:val="00BB60AF"/>
    <w:rsid w:val="00BC035A"/>
    <w:rsid w:val="00BC4306"/>
    <w:rsid w:val="00BC4DF5"/>
    <w:rsid w:val="00BD1CB3"/>
    <w:rsid w:val="00BD2A44"/>
    <w:rsid w:val="00BD5BEA"/>
    <w:rsid w:val="00BD7CBE"/>
    <w:rsid w:val="00BE47FC"/>
    <w:rsid w:val="00BE773F"/>
    <w:rsid w:val="00BF2F85"/>
    <w:rsid w:val="00BF3DB8"/>
    <w:rsid w:val="00C02608"/>
    <w:rsid w:val="00C032A8"/>
    <w:rsid w:val="00C03641"/>
    <w:rsid w:val="00C03C71"/>
    <w:rsid w:val="00C0558E"/>
    <w:rsid w:val="00C06B12"/>
    <w:rsid w:val="00C10753"/>
    <w:rsid w:val="00C11464"/>
    <w:rsid w:val="00C11725"/>
    <w:rsid w:val="00C13140"/>
    <w:rsid w:val="00C15795"/>
    <w:rsid w:val="00C17BCC"/>
    <w:rsid w:val="00C21F39"/>
    <w:rsid w:val="00C22975"/>
    <w:rsid w:val="00C25BC7"/>
    <w:rsid w:val="00C30782"/>
    <w:rsid w:val="00C346B2"/>
    <w:rsid w:val="00C424A4"/>
    <w:rsid w:val="00C42EE0"/>
    <w:rsid w:val="00C51194"/>
    <w:rsid w:val="00C515FE"/>
    <w:rsid w:val="00C548A4"/>
    <w:rsid w:val="00C5523E"/>
    <w:rsid w:val="00C56450"/>
    <w:rsid w:val="00C606C7"/>
    <w:rsid w:val="00C646A8"/>
    <w:rsid w:val="00C6527E"/>
    <w:rsid w:val="00C729A1"/>
    <w:rsid w:val="00C72A4D"/>
    <w:rsid w:val="00C73797"/>
    <w:rsid w:val="00C8350D"/>
    <w:rsid w:val="00C8478A"/>
    <w:rsid w:val="00C8736A"/>
    <w:rsid w:val="00C9134C"/>
    <w:rsid w:val="00C91972"/>
    <w:rsid w:val="00CA2090"/>
    <w:rsid w:val="00CB165F"/>
    <w:rsid w:val="00CB25CD"/>
    <w:rsid w:val="00CB2859"/>
    <w:rsid w:val="00CB5DFF"/>
    <w:rsid w:val="00CB723A"/>
    <w:rsid w:val="00CB7AD2"/>
    <w:rsid w:val="00CC0665"/>
    <w:rsid w:val="00CC2C31"/>
    <w:rsid w:val="00CC424D"/>
    <w:rsid w:val="00CD0906"/>
    <w:rsid w:val="00CD1A0C"/>
    <w:rsid w:val="00CD1E10"/>
    <w:rsid w:val="00CE1291"/>
    <w:rsid w:val="00CE59D8"/>
    <w:rsid w:val="00CE5D67"/>
    <w:rsid w:val="00CF430D"/>
    <w:rsid w:val="00CF7924"/>
    <w:rsid w:val="00D0022C"/>
    <w:rsid w:val="00D1150C"/>
    <w:rsid w:val="00D1217C"/>
    <w:rsid w:val="00D2027D"/>
    <w:rsid w:val="00D24256"/>
    <w:rsid w:val="00D2443C"/>
    <w:rsid w:val="00D2607A"/>
    <w:rsid w:val="00D26D3D"/>
    <w:rsid w:val="00D27F89"/>
    <w:rsid w:val="00D35225"/>
    <w:rsid w:val="00D353E6"/>
    <w:rsid w:val="00D406B8"/>
    <w:rsid w:val="00D41576"/>
    <w:rsid w:val="00D42608"/>
    <w:rsid w:val="00D55F4E"/>
    <w:rsid w:val="00D57D67"/>
    <w:rsid w:val="00D62569"/>
    <w:rsid w:val="00D65E39"/>
    <w:rsid w:val="00D74BD9"/>
    <w:rsid w:val="00D844DE"/>
    <w:rsid w:val="00D84CDE"/>
    <w:rsid w:val="00D84DEA"/>
    <w:rsid w:val="00D856AA"/>
    <w:rsid w:val="00D96171"/>
    <w:rsid w:val="00DA108C"/>
    <w:rsid w:val="00DA5065"/>
    <w:rsid w:val="00DB660C"/>
    <w:rsid w:val="00DB6D6C"/>
    <w:rsid w:val="00DB7566"/>
    <w:rsid w:val="00DB7963"/>
    <w:rsid w:val="00DC0F4D"/>
    <w:rsid w:val="00DC31A8"/>
    <w:rsid w:val="00DD5808"/>
    <w:rsid w:val="00DD7A4E"/>
    <w:rsid w:val="00DE1028"/>
    <w:rsid w:val="00DE3FBB"/>
    <w:rsid w:val="00DE6CEE"/>
    <w:rsid w:val="00DF1356"/>
    <w:rsid w:val="00DF414A"/>
    <w:rsid w:val="00DF4C0F"/>
    <w:rsid w:val="00E01B0A"/>
    <w:rsid w:val="00E0339F"/>
    <w:rsid w:val="00E0399C"/>
    <w:rsid w:val="00E062D1"/>
    <w:rsid w:val="00E07DC3"/>
    <w:rsid w:val="00E16B49"/>
    <w:rsid w:val="00E2077C"/>
    <w:rsid w:val="00E23437"/>
    <w:rsid w:val="00E2429B"/>
    <w:rsid w:val="00E25FFD"/>
    <w:rsid w:val="00E271D0"/>
    <w:rsid w:val="00E30C09"/>
    <w:rsid w:val="00E3169B"/>
    <w:rsid w:val="00E35F8E"/>
    <w:rsid w:val="00E37910"/>
    <w:rsid w:val="00E45C04"/>
    <w:rsid w:val="00E45FE3"/>
    <w:rsid w:val="00E61452"/>
    <w:rsid w:val="00E644B9"/>
    <w:rsid w:val="00E64A77"/>
    <w:rsid w:val="00E66B60"/>
    <w:rsid w:val="00E66C5F"/>
    <w:rsid w:val="00E7139C"/>
    <w:rsid w:val="00E75E6E"/>
    <w:rsid w:val="00E840C1"/>
    <w:rsid w:val="00E87E3E"/>
    <w:rsid w:val="00E93D5A"/>
    <w:rsid w:val="00E974FB"/>
    <w:rsid w:val="00EA06A0"/>
    <w:rsid w:val="00EA1013"/>
    <w:rsid w:val="00EA2827"/>
    <w:rsid w:val="00EA64DC"/>
    <w:rsid w:val="00EB2A73"/>
    <w:rsid w:val="00EB6AB4"/>
    <w:rsid w:val="00EC0204"/>
    <w:rsid w:val="00EC17D1"/>
    <w:rsid w:val="00ED31BF"/>
    <w:rsid w:val="00EE1255"/>
    <w:rsid w:val="00EE4943"/>
    <w:rsid w:val="00EE5938"/>
    <w:rsid w:val="00EE6E26"/>
    <w:rsid w:val="00EF1737"/>
    <w:rsid w:val="00EF449C"/>
    <w:rsid w:val="00F004D2"/>
    <w:rsid w:val="00F0183C"/>
    <w:rsid w:val="00F02B53"/>
    <w:rsid w:val="00F0343A"/>
    <w:rsid w:val="00F0399F"/>
    <w:rsid w:val="00F042FA"/>
    <w:rsid w:val="00F044DD"/>
    <w:rsid w:val="00F050FF"/>
    <w:rsid w:val="00F06E14"/>
    <w:rsid w:val="00F16DFB"/>
    <w:rsid w:val="00F20CEB"/>
    <w:rsid w:val="00F22FED"/>
    <w:rsid w:val="00F23880"/>
    <w:rsid w:val="00F31BE9"/>
    <w:rsid w:val="00F33D6D"/>
    <w:rsid w:val="00F36208"/>
    <w:rsid w:val="00F55A96"/>
    <w:rsid w:val="00F606E4"/>
    <w:rsid w:val="00F65B6B"/>
    <w:rsid w:val="00F76EBD"/>
    <w:rsid w:val="00F777A9"/>
    <w:rsid w:val="00F77941"/>
    <w:rsid w:val="00F8582B"/>
    <w:rsid w:val="00F9233C"/>
    <w:rsid w:val="00F95E84"/>
    <w:rsid w:val="00FB1AEC"/>
    <w:rsid w:val="00FB4E19"/>
    <w:rsid w:val="00FC0A64"/>
    <w:rsid w:val="00FC514B"/>
    <w:rsid w:val="00FC5235"/>
    <w:rsid w:val="00FC5B6D"/>
    <w:rsid w:val="00FD109E"/>
    <w:rsid w:val="00FD2E0D"/>
    <w:rsid w:val="00FD6587"/>
    <w:rsid w:val="00FE13BA"/>
    <w:rsid w:val="00FE2DF4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11AA0"/>
  <w15:docId w15:val="{3736F6A8-EBE0-4F94-8182-41FEFE88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717C"/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350D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C8350D"/>
  </w:style>
  <w:style w:type="paragraph" w:styleId="a6">
    <w:name w:val="header"/>
    <w:basedOn w:val="a"/>
    <w:rsid w:val="00C8350D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7E3B78"/>
    <w:pPr>
      <w:spacing w:before="75" w:after="180"/>
      <w:ind w:left="75" w:right="75"/>
      <w:jc w:val="both"/>
    </w:pPr>
    <w:rPr>
      <w:rFonts w:ascii="Tahoma" w:hAnsi="Tahoma" w:cs="Tahoma"/>
      <w:sz w:val="20"/>
      <w:szCs w:val="20"/>
    </w:rPr>
  </w:style>
  <w:style w:type="character" w:styleId="a8">
    <w:name w:val="Hyperlink"/>
    <w:rsid w:val="009751B6"/>
    <w:rPr>
      <w:color w:val="0000FF"/>
      <w:u w:val="single"/>
    </w:rPr>
  </w:style>
  <w:style w:type="paragraph" w:styleId="a9">
    <w:name w:val="Balloon Text"/>
    <w:basedOn w:val="a"/>
    <w:semiHidden/>
    <w:rsid w:val="0019332A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C646A8"/>
    <w:rPr>
      <w:rFonts w:ascii="Arial" w:hAnsi="Arial" w:cs="Arial"/>
      <w:sz w:val="22"/>
      <w:szCs w:val="22"/>
    </w:rPr>
  </w:style>
  <w:style w:type="character" w:styleId="aa">
    <w:name w:val="annotation reference"/>
    <w:rsid w:val="00AF041F"/>
    <w:rPr>
      <w:sz w:val="16"/>
      <w:szCs w:val="16"/>
    </w:rPr>
  </w:style>
  <w:style w:type="paragraph" w:styleId="ab">
    <w:name w:val="annotation text"/>
    <w:basedOn w:val="a"/>
    <w:link w:val="ac"/>
    <w:rsid w:val="00AF041F"/>
    <w:rPr>
      <w:sz w:val="20"/>
      <w:szCs w:val="20"/>
    </w:rPr>
  </w:style>
  <w:style w:type="character" w:customStyle="1" w:styleId="ac">
    <w:name w:val="Текст примечания Знак"/>
    <w:link w:val="ab"/>
    <w:rsid w:val="00AF041F"/>
    <w:rPr>
      <w:rFonts w:ascii="Arial" w:hAnsi="Arial" w:cs="Arial"/>
    </w:rPr>
  </w:style>
  <w:style w:type="paragraph" w:styleId="ad">
    <w:name w:val="annotation subject"/>
    <w:basedOn w:val="ab"/>
    <w:next w:val="ab"/>
    <w:link w:val="ae"/>
    <w:rsid w:val="00AF041F"/>
    <w:rPr>
      <w:b/>
      <w:bCs/>
    </w:rPr>
  </w:style>
  <w:style w:type="character" w:customStyle="1" w:styleId="ae">
    <w:name w:val="Тема примечания Знак"/>
    <w:link w:val="ad"/>
    <w:rsid w:val="00AF041F"/>
    <w:rPr>
      <w:rFonts w:ascii="Arial" w:hAnsi="Arial" w:cs="Arial"/>
      <w:b/>
      <w:bCs/>
    </w:rPr>
  </w:style>
  <w:style w:type="paragraph" w:styleId="af">
    <w:name w:val="Revision"/>
    <w:hidden/>
    <w:uiPriority w:val="99"/>
    <w:semiHidden/>
    <w:rsid w:val="00366159"/>
    <w:rPr>
      <w:rFonts w:ascii="Arial" w:hAnsi="Arial" w:cs="Arial"/>
      <w:sz w:val="22"/>
      <w:szCs w:val="22"/>
    </w:rPr>
  </w:style>
  <w:style w:type="paragraph" w:styleId="af0">
    <w:name w:val="List Paragraph"/>
    <w:basedOn w:val="a"/>
    <w:uiPriority w:val="34"/>
    <w:qFormat/>
    <w:rsid w:val="00015A55"/>
    <w:pPr>
      <w:ind w:left="720"/>
      <w:contextualSpacing/>
    </w:pPr>
  </w:style>
  <w:style w:type="table" w:styleId="af1">
    <w:name w:val="Table Grid"/>
    <w:basedOn w:val="a1"/>
    <w:rsid w:val="0005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ФС текст.Arial"/>
    <w:basedOn w:val="a"/>
    <w:rsid w:val="00217188"/>
    <w:pPr>
      <w:widowControl w:val="0"/>
      <w:spacing w:line="360" w:lineRule="auto"/>
      <w:ind w:firstLine="720"/>
      <w:jc w:val="both"/>
    </w:pPr>
    <w:rPr>
      <w:rFonts w:cs="Times New Roman"/>
      <w:sz w:val="24"/>
      <w:szCs w:val="20"/>
    </w:rPr>
  </w:style>
  <w:style w:type="paragraph" w:customStyle="1" w:styleId="opispole">
    <w:name w:val="opis_pole"/>
    <w:basedOn w:val="a"/>
    <w:rsid w:val="002171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2171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7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795C-F916-4968-9BC4-886391DC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Mir-Pharm Ltd.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User</dc:creator>
  <cp:lastModifiedBy>Землянская Ольга</cp:lastModifiedBy>
  <cp:revision>10</cp:revision>
  <cp:lastPrinted>2018-01-31T07:35:00Z</cp:lastPrinted>
  <dcterms:created xsi:type="dcterms:W3CDTF">2018-01-25T08:49:00Z</dcterms:created>
  <dcterms:modified xsi:type="dcterms:W3CDTF">2018-01-31T08:31:00Z</dcterms:modified>
</cp:coreProperties>
</file>